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28A" w:rsidRDefault="00F2328A">
      <w:pPr>
        <w:numPr>
          <w:ilvl w:val="12"/>
          <w:numId w:val="0"/>
        </w:numPr>
        <w:spacing w:before="60" w:after="60"/>
        <w:rPr>
          <w:sz w:val="24"/>
        </w:rPr>
      </w:pPr>
    </w:p>
    <w:tbl>
      <w:tblPr>
        <w:tblW w:w="0" w:type="auto"/>
        <w:tblInd w:w="100" w:type="dxa"/>
        <w:tblLayout w:type="fixed"/>
        <w:tblCellMar>
          <w:left w:w="100" w:type="dxa"/>
          <w:right w:w="100" w:type="dxa"/>
        </w:tblCellMar>
        <w:tblLook w:val="0000"/>
      </w:tblPr>
      <w:tblGrid>
        <w:gridCol w:w="5505"/>
        <w:gridCol w:w="4580"/>
      </w:tblGrid>
      <w:tr w:rsidR="00F2328A">
        <w:tblPrEx>
          <w:tblCellMar>
            <w:top w:w="0" w:type="dxa"/>
            <w:bottom w:w="0" w:type="dxa"/>
          </w:tblCellMar>
        </w:tblPrEx>
        <w:tc>
          <w:tcPr>
            <w:tcW w:w="5505" w:type="dxa"/>
          </w:tcPr>
          <w:p w:rsidR="00F2328A" w:rsidRDefault="00F2328A">
            <w:pPr>
              <w:numPr>
                <w:ilvl w:val="12"/>
                <w:numId w:val="0"/>
              </w:numPr>
              <w:rPr>
                <w:sz w:val="36"/>
              </w:rPr>
            </w:pPr>
            <w:r>
              <w:rPr>
                <w:sz w:val="36"/>
              </w:rPr>
              <w:t>Material Safety Data Sheet</w:t>
            </w:r>
          </w:p>
        </w:tc>
        <w:tc>
          <w:tcPr>
            <w:tcW w:w="4580" w:type="dxa"/>
          </w:tcPr>
          <w:p w:rsidR="00F2328A" w:rsidRDefault="00F2328A">
            <w:pPr>
              <w:numPr>
                <w:ilvl w:val="12"/>
                <w:numId w:val="0"/>
              </w:numPr>
              <w:rPr>
                <w:sz w:val="36"/>
              </w:rPr>
            </w:pPr>
            <w:smartTag w:uri="urn:schemas-microsoft-com:office:smarttags" w:element="country-region">
              <w:smartTag w:uri="urn:schemas-microsoft-com:office:smarttags" w:element="place">
                <w:r>
                  <w:rPr>
                    <w:b/>
                    <w:sz w:val="36"/>
                  </w:rPr>
                  <w:t>U.S.</w:t>
                </w:r>
              </w:smartTag>
            </w:smartTag>
            <w:r>
              <w:rPr>
                <w:b/>
                <w:sz w:val="36"/>
              </w:rPr>
              <w:t xml:space="preserve"> Department of Labor</w:t>
            </w:r>
          </w:p>
        </w:tc>
      </w:tr>
      <w:tr w:rsidR="00F2328A">
        <w:tblPrEx>
          <w:tblCellMar>
            <w:top w:w="0" w:type="dxa"/>
            <w:bottom w:w="0" w:type="dxa"/>
          </w:tblCellMar>
        </w:tblPrEx>
        <w:tc>
          <w:tcPr>
            <w:tcW w:w="5505" w:type="dxa"/>
          </w:tcPr>
          <w:p w:rsidR="00F2328A" w:rsidRDefault="00F2328A">
            <w:pPr>
              <w:numPr>
                <w:ilvl w:val="12"/>
                <w:numId w:val="0"/>
              </w:numPr>
            </w:pPr>
            <w:r>
              <w:t>May be used to comply with</w:t>
            </w:r>
          </w:p>
        </w:tc>
        <w:tc>
          <w:tcPr>
            <w:tcW w:w="4580" w:type="dxa"/>
          </w:tcPr>
          <w:p w:rsidR="00F2328A" w:rsidRDefault="00F2328A">
            <w:pPr>
              <w:numPr>
                <w:ilvl w:val="12"/>
                <w:numId w:val="0"/>
              </w:numPr>
            </w:pPr>
            <w:r>
              <w:t>Occupational Safety and Health Administration</w:t>
            </w:r>
          </w:p>
        </w:tc>
      </w:tr>
      <w:tr w:rsidR="00F2328A">
        <w:tblPrEx>
          <w:tblCellMar>
            <w:top w:w="0" w:type="dxa"/>
            <w:bottom w:w="0" w:type="dxa"/>
          </w:tblCellMar>
        </w:tblPrEx>
        <w:tc>
          <w:tcPr>
            <w:tcW w:w="5505" w:type="dxa"/>
          </w:tcPr>
          <w:p w:rsidR="00F2328A" w:rsidRDefault="00F2328A">
            <w:pPr>
              <w:numPr>
                <w:ilvl w:val="12"/>
                <w:numId w:val="0"/>
              </w:numPr>
            </w:pPr>
            <w:r>
              <w:t>OSHA's Hazard Communication Standard,</w:t>
            </w:r>
          </w:p>
        </w:tc>
        <w:tc>
          <w:tcPr>
            <w:tcW w:w="4580" w:type="dxa"/>
          </w:tcPr>
          <w:p w:rsidR="00F2328A" w:rsidRDefault="00F2328A">
            <w:pPr>
              <w:numPr>
                <w:ilvl w:val="12"/>
                <w:numId w:val="0"/>
              </w:numPr>
            </w:pPr>
            <w:r>
              <w:t>(Non-Mandatory Form)</w:t>
            </w:r>
          </w:p>
        </w:tc>
      </w:tr>
      <w:tr w:rsidR="00F2328A">
        <w:tblPrEx>
          <w:tblCellMar>
            <w:top w:w="0" w:type="dxa"/>
            <w:bottom w:w="0" w:type="dxa"/>
          </w:tblCellMar>
        </w:tblPrEx>
        <w:tc>
          <w:tcPr>
            <w:tcW w:w="5505" w:type="dxa"/>
          </w:tcPr>
          <w:p w:rsidR="00F2328A" w:rsidRDefault="00F2328A">
            <w:pPr>
              <w:numPr>
                <w:ilvl w:val="12"/>
                <w:numId w:val="0"/>
              </w:numPr>
            </w:pPr>
            <w:r>
              <w:t>29 CFR 1910.1200. This Standard must be</w:t>
            </w:r>
          </w:p>
        </w:tc>
        <w:tc>
          <w:tcPr>
            <w:tcW w:w="4580" w:type="dxa"/>
          </w:tcPr>
          <w:p w:rsidR="00F2328A" w:rsidRDefault="00F2328A">
            <w:pPr>
              <w:numPr>
                <w:ilvl w:val="12"/>
                <w:numId w:val="0"/>
              </w:numPr>
            </w:pPr>
            <w:r>
              <w:t>Form Approved</w:t>
            </w:r>
          </w:p>
        </w:tc>
      </w:tr>
      <w:tr w:rsidR="00F2328A">
        <w:tblPrEx>
          <w:tblCellMar>
            <w:top w:w="0" w:type="dxa"/>
            <w:bottom w:w="0" w:type="dxa"/>
          </w:tblCellMar>
        </w:tblPrEx>
        <w:tc>
          <w:tcPr>
            <w:tcW w:w="5505" w:type="dxa"/>
          </w:tcPr>
          <w:p w:rsidR="00F2328A" w:rsidRDefault="00F2328A">
            <w:pPr>
              <w:numPr>
                <w:ilvl w:val="12"/>
                <w:numId w:val="0"/>
              </w:numPr>
            </w:pPr>
            <w:proofErr w:type="gramStart"/>
            <w:r>
              <w:t>consulted</w:t>
            </w:r>
            <w:proofErr w:type="gramEnd"/>
            <w:r>
              <w:t xml:space="preserve"> for specific requirements.</w:t>
            </w:r>
            <w:r w:rsidR="00381C09">
              <w:t xml:space="preserve"> </w:t>
            </w:r>
          </w:p>
        </w:tc>
        <w:tc>
          <w:tcPr>
            <w:tcW w:w="4580" w:type="dxa"/>
          </w:tcPr>
          <w:p w:rsidR="00F2328A" w:rsidRDefault="00F2328A">
            <w:pPr>
              <w:pStyle w:val="BodyStyle"/>
              <w:numPr>
                <w:ilvl w:val="12"/>
                <w:numId w:val="0"/>
              </w:numPr>
              <w:tabs>
                <w:tab w:val="clear" w:pos="720"/>
                <w:tab w:val="clear" w:pos="1440"/>
                <w:tab w:val="clear" w:pos="7200"/>
              </w:tabs>
              <w:rPr>
                <w:rFonts w:ascii="Times New Roman" w:hAnsi="Times New Roman"/>
                <w:sz w:val="20"/>
              </w:rPr>
            </w:pPr>
            <w:r>
              <w:rPr>
                <w:rFonts w:ascii="Times New Roman" w:hAnsi="Times New Roman"/>
                <w:sz w:val="20"/>
              </w:rPr>
              <w:t>OMB No. 1218-0072</w:t>
            </w:r>
          </w:p>
        </w:tc>
      </w:tr>
    </w:tbl>
    <w:p w:rsidR="00F2328A" w:rsidRDefault="00F2328A">
      <w:pPr>
        <w:numPr>
          <w:ilvl w:val="12"/>
          <w:numId w:val="0"/>
        </w:numPr>
        <w:spacing w:before="60" w:after="60"/>
        <w:rPr>
          <w:sz w:val="24"/>
        </w:rPr>
      </w:pPr>
    </w:p>
    <w:tbl>
      <w:tblPr>
        <w:tblW w:w="0" w:type="auto"/>
        <w:tblInd w:w="100" w:type="dxa"/>
        <w:tblLayout w:type="fixed"/>
        <w:tblCellMar>
          <w:left w:w="100" w:type="dxa"/>
          <w:right w:w="100" w:type="dxa"/>
        </w:tblCellMar>
        <w:tblLook w:val="0000"/>
      </w:tblPr>
      <w:tblGrid>
        <w:gridCol w:w="5045"/>
        <w:gridCol w:w="5040"/>
      </w:tblGrid>
      <w:tr w:rsidR="00F2328A">
        <w:tblPrEx>
          <w:tblCellMar>
            <w:top w:w="0" w:type="dxa"/>
            <w:bottom w:w="0" w:type="dxa"/>
          </w:tblCellMar>
        </w:tblPrEx>
        <w:tc>
          <w:tcPr>
            <w:tcW w:w="5045" w:type="dxa"/>
            <w:tcBorders>
              <w:top w:val="single" w:sz="6" w:space="0" w:color="auto"/>
              <w:left w:val="single" w:sz="6" w:space="0" w:color="auto"/>
              <w:bottom w:val="single" w:sz="6" w:space="0" w:color="auto"/>
              <w:right w:val="single" w:sz="6" w:space="0" w:color="auto"/>
            </w:tcBorders>
          </w:tcPr>
          <w:p w:rsidR="00F2328A" w:rsidRPr="006F7834" w:rsidRDefault="00F2328A">
            <w:pPr>
              <w:numPr>
                <w:ilvl w:val="12"/>
                <w:numId w:val="0"/>
              </w:numPr>
              <w:rPr>
                <w:i/>
              </w:rPr>
            </w:pPr>
            <w:r w:rsidRPr="006F7834">
              <w:t xml:space="preserve">IDENTITY </w:t>
            </w:r>
            <w:r w:rsidRPr="006F7834">
              <w:rPr>
                <w:i/>
              </w:rPr>
              <w:t>(As Used on Label and List)</w:t>
            </w:r>
          </w:p>
          <w:p w:rsidR="00093FE0" w:rsidRDefault="00093FE0">
            <w:pPr>
              <w:numPr>
                <w:ilvl w:val="12"/>
                <w:numId w:val="0"/>
              </w:numPr>
              <w:rPr>
                <w:i/>
                <w:sz w:val="24"/>
              </w:rPr>
            </w:pPr>
          </w:p>
          <w:p w:rsidR="00093FE0" w:rsidRPr="00093FE0" w:rsidRDefault="00EF4C17">
            <w:pPr>
              <w:numPr>
                <w:ilvl w:val="12"/>
                <w:numId w:val="0"/>
              </w:numPr>
              <w:rPr>
                <w:b/>
                <w:sz w:val="22"/>
                <w:szCs w:val="22"/>
              </w:rPr>
            </w:pPr>
            <w:r>
              <w:rPr>
                <w:b/>
                <w:sz w:val="22"/>
                <w:szCs w:val="22"/>
              </w:rPr>
              <w:t>Glass Tile</w:t>
            </w:r>
          </w:p>
        </w:tc>
        <w:tc>
          <w:tcPr>
            <w:tcW w:w="5040" w:type="dxa"/>
            <w:tcBorders>
              <w:top w:val="single" w:sz="6" w:space="0" w:color="auto"/>
              <w:left w:val="single" w:sz="6" w:space="0" w:color="auto"/>
              <w:bottom w:val="single" w:sz="6" w:space="0" w:color="auto"/>
              <w:right w:val="single" w:sz="6" w:space="0" w:color="auto"/>
            </w:tcBorders>
          </w:tcPr>
          <w:p w:rsidR="00F2328A" w:rsidRPr="006F7834" w:rsidRDefault="00F2328A">
            <w:pPr>
              <w:numPr>
                <w:ilvl w:val="12"/>
                <w:numId w:val="0"/>
              </w:numPr>
            </w:pPr>
            <w:r w:rsidRPr="006F7834">
              <w:t>Note: Blank spaces are not permitted. If any item is not applicable, or no information is available, the space must be marked to indicate that.</w:t>
            </w:r>
          </w:p>
        </w:tc>
      </w:tr>
    </w:tbl>
    <w:p w:rsidR="00F2328A" w:rsidRDefault="00F2328A">
      <w:pPr>
        <w:numPr>
          <w:ilvl w:val="12"/>
          <w:numId w:val="0"/>
        </w:numPr>
        <w:spacing w:before="60" w:after="60"/>
        <w:rPr>
          <w:b/>
          <w:sz w:val="24"/>
        </w:rPr>
      </w:pPr>
    </w:p>
    <w:p w:rsidR="00F2328A" w:rsidRDefault="00F2328A">
      <w:pPr>
        <w:numPr>
          <w:ilvl w:val="12"/>
          <w:numId w:val="0"/>
        </w:numPr>
        <w:spacing w:before="60" w:after="60"/>
        <w:rPr>
          <w:sz w:val="24"/>
        </w:rPr>
      </w:pPr>
      <w:r>
        <w:rPr>
          <w:b/>
          <w:sz w:val="24"/>
        </w:rPr>
        <w:t>Section I</w:t>
      </w:r>
      <w:r>
        <w:rPr>
          <w:sz w:val="24"/>
        </w:rPr>
        <w:t xml:space="preserve"> </w:t>
      </w:r>
    </w:p>
    <w:tbl>
      <w:tblPr>
        <w:tblW w:w="0" w:type="auto"/>
        <w:tblInd w:w="100" w:type="dxa"/>
        <w:tblLayout w:type="fixed"/>
        <w:tblCellMar>
          <w:left w:w="100" w:type="dxa"/>
          <w:right w:w="100" w:type="dxa"/>
        </w:tblCellMar>
        <w:tblLook w:val="0000"/>
      </w:tblPr>
      <w:tblGrid>
        <w:gridCol w:w="5045"/>
        <w:gridCol w:w="5040"/>
      </w:tblGrid>
      <w:tr w:rsidR="00F2328A">
        <w:tblPrEx>
          <w:tblCellMar>
            <w:top w:w="0" w:type="dxa"/>
            <w:bottom w:w="0" w:type="dxa"/>
          </w:tblCellMar>
        </w:tblPrEx>
        <w:tc>
          <w:tcPr>
            <w:tcW w:w="5045" w:type="dxa"/>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pPr>
            <w:r>
              <w:t>Manufacturer's Name</w:t>
            </w:r>
          </w:p>
          <w:p w:rsidR="00093FE0" w:rsidRDefault="00EF4C17">
            <w:pPr>
              <w:numPr>
                <w:ilvl w:val="12"/>
                <w:numId w:val="0"/>
              </w:numPr>
            </w:pPr>
            <w:r>
              <w:rPr>
                <w:b/>
                <w:sz w:val="22"/>
                <w:szCs w:val="22"/>
              </w:rPr>
              <w:t>Hirsch Glass Corp.</w:t>
            </w:r>
          </w:p>
        </w:tc>
        <w:tc>
          <w:tcPr>
            <w:tcW w:w="5040" w:type="dxa"/>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pPr>
            <w:r>
              <w:t xml:space="preserve">Emergency Telephone Number </w:t>
            </w:r>
            <w:r>
              <w:br/>
              <w:t> </w:t>
            </w:r>
            <w:r w:rsidR="00EF4C17">
              <w:rPr>
                <w:b/>
              </w:rPr>
              <w:t>732-329-8988</w:t>
            </w:r>
          </w:p>
        </w:tc>
      </w:tr>
      <w:tr w:rsidR="00F2328A">
        <w:tblPrEx>
          <w:tblCellMar>
            <w:top w:w="0" w:type="dxa"/>
            <w:bottom w:w="0" w:type="dxa"/>
          </w:tblCellMar>
        </w:tblPrEx>
        <w:tc>
          <w:tcPr>
            <w:tcW w:w="5045" w:type="dxa"/>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rPr>
                <w:i/>
              </w:rPr>
            </w:pPr>
            <w:r>
              <w:t xml:space="preserve">Address </w:t>
            </w:r>
            <w:r>
              <w:rPr>
                <w:i/>
              </w:rPr>
              <w:t>(Number, Street, City, State, and ZIP Code)</w:t>
            </w:r>
          </w:p>
          <w:p w:rsidR="00093FE0" w:rsidRPr="00093FE0" w:rsidRDefault="00405E24" w:rsidP="00405E24">
            <w:pPr>
              <w:numPr>
                <w:ilvl w:val="12"/>
                <w:numId w:val="0"/>
              </w:numPr>
            </w:pPr>
            <w:r>
              <w:rPr>
                <w:b/>
                <w:sz w:val="22"/>
                <w:szCs w:val="22"/>
              </w:rPr>
              <w:t xml:space="preserve">106 </w:t>
            </w:r>
            <w:proofErr w:type="spellStart"/>
            <w:r>
              <w:rPr>
                <w:b/>
                <w:sz w:val="22"/>
                <w:szCs w:val="22"/>
              </w:rPr>
              <w:t>Melrich</w:t>
            </w:r>
            <w:proofErr w:type="spellEnd"/>
            <w:r>
              <w:rPr>
                <w:b/>
                <w:sz w:val="22"/>
                <w:szCs w:val="22"/>
              </w:rPr>
              <w:t xml:space="preserve"> Road</w:t>
            </w:r>
          </w:p>
        </w:tc>
        <w:tc>
          <w:tcPr>
            <w:tcW w:w="5040" w:type="dxa"/>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pPr>
            <w:r>
              <w:t xml:space="preserve">Telephone Number for Information </w:t>
            </w:r>
            <w:r>
              <w:br/>
              <w:t> </w:t>
            </w:r>
            <w:r w:rsidR="00EF4C17">
              <w:rPr>
                <w:b/>
              </w:rPr>
              <w:t>732-329-8988</w:t>
            </w:r>
          </w:p>
        </w:tc>
      </w:tr>
      <w:tr w:rsidR="00F2328A">
        <w:tblPrEx>
          <w:tblCellMar>
            <w:top w:w="0" w:type="dxa"/>
            <w:bottom w:w="0" w:type="dxa"/>
          </w:tblCellMar>
        </w:tblPrEx>
        <w:tc>
          <w:tcPr>
            <w:tcW w:w="5045" w:type="dxa"/>
            <w:tcBorders>
              <w:top w:val="single" w:sz="6" w:space="0" w:color="auto"/>
              <w:left w:val="single" w:sz="6" w:space="0" w:color="auto"/>
              <w:bottom w:val="single" w:sz="6" w:space="0" w:color="auto"/>
              <w:right w:val="single" w:sz="6" w:space="0" w:color="auto"/>
            </w:tcBorders>
          </w:tcPr>
          <w:p w:rsidR="00093FE0" w:rsidRPr="00093FE0" w:rsidRDefault="00405E24">
            <w:pPr>
              <w:numPr>
                <w:ilvl w:val="12"/>
                <w:numId w:val="0"/>
              </w:numPr>
            </w:pPr>
            <w:r>
              <w:rPr>
                <w:b/>
              </w:rPr>
              <w:t>Cranbury, NJ 08512</w:t>
            </w:r>
          </w:p>
        </w:tc>
        <w:tc>
          <w:tcPr>
            <w:tcW w:w="5040" w:type="dxa"/>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pPr>
            <w:r>
              <w:t>Date Prepared</w:t>
            </w:r>
            <w:r>
              <w:br/>
              <w:t> </w:t>
            </w:r>
            <w:r w:rsidR="00EF4C17">
              <w:rPr>
                <w:b/>
              </w:rPr>
              <w:t>12</w:t>
            </w:r>
            <w:r w:rsidR="007F0C2C">
              <w:rPr>
                <w:b/>
              </w:rPr>
              <w:t>/15</w:t>
            </w:r>
            <w:r w:rsidR="00093FE0" w:rsidRPr="00093FE0">
              <w:rPr>
                <w:b/>
              </w:rPr>
              <w:t>/</w:t>
            </w:r>
            <w:r w:rsidR="00EF4C17">
              <w:rPr>
                <w:b/>
              </w:rPr>
              <w:t>2010</w:t>
            </w:r>
          </w:p>
        </w:tc>
      </w:tr>
      <w:tr w:rsidR="00F2328A">
        <w:tblPrEx>
          <w:tblCellMar>
            <w:top w:w="0" w:type="dxa"/>
            <w:bottom w:w="0" w:type="dxa"/>
          </w:tblCellMar>
        </w:tblPrEx>
        <w:tc>
          <w:tcPr>
            <w:tcW w:w="5045" w:type="dxa"/>
            <w:tcBorders>
              <w:top w:val="single" w:sz="6" w:space="0" w:color="auto"/>
              <w:left w:val="single" w:sz="6" w:space="0" w:color="auto"/>
              <w:bottom w:val="single" w:sz="6" w:space="0" w:color="auto"/>
              <w:right w:val="single" w:sz="6" w:space="0" w:color="auto"/>
            </w:tcBorders>
          </w:tcPr>
          <w:p w:rsidR="00093FE0" w:rsidRDefault="00093FE0" w:rsidP="00EF4C17">
            <w:pPr>
              <w:numPr>
                <w:ilvl w:val="12"/>
                <w:numId w:val="0"/>
              </w:numPr>
            </w:pPr>
          </w:p>
        </w:tc>
        <w:tc>
          <w:tcPr>
            <w:tcW w:w="5040" w:type="dxa"/>
            <w:tcBorders>
              <w:top w:val="single" w:sz="6" w:space="0" w:color="auto"/>
              <w:left w:val="single" w:sz="6" w:space="0" w:color="auto"/>
              <w:bottom w:val="single" w:sz="6" w:space="0" w:color="auto"/>
              <w:right w:val="single" w:sz="6" w:space="0" w:color="auto"/>
            </w:tcBorders>
          </w:tcPr>
          <w:p w:rsidR="00F2328A" w:rsidRPr="00093FE0" w:rsidRDefault="00F2328A">
            <w:pPr>
              <w:numPr>
                <w:ilvl w:val="12"/>
                <w:numId w:val="0"/>
              </w:numPr>
              <w:rPr>
                <w:b/>
              </w:rPr>
            </w:pPr>
            <w:r>
              <w:t xml:space="preserve">Signature of Preparer </w:t>
            </w:r>
            <w:r>
              <w:rPr>
                <w:i/>
              </w:rPr>
              <w:t>(optional)</w:t>
            </w:r>
            <w:r>
              <w:rPr>
                <w:i/>
              </w:rPr>
              <w:br/>
            </w:r>
            <w:r>
              <w:t> </w:t>
            </w:r>
          </w:p>
        </w:tc>
      </w:tr>
    </w:tbl>
    <w:p w:rsidR="00F2328A" w:rsidRDefault="00F2328A">
      <w:pPr>
        <w:numPr>
          <w:ilvl w:val="12"/>
          <w:numId w:val="0"/>
        </w:numPr>
        <w:spacing w:before="60" w:after="60"/>
        <w:rPr>
          <w:b/>
          <w:sz w:val="24"/>
        </w:rPr>
      </w:pPr>
    </w:p>
    <w:p w:rsidR="00F2328A" w:rsidRDefault="00F2328A">
      <w:pPr>
        <w:numPr>
          <w:ilvl w:val="12"/>
          <w:numId w:val="0"/>
        </w:numPr>
        <w:spacing w:before="60" w:after="60"/>
        <w:rPr>
          <w:sz w:val="24"/>
        </w:rPr>
      </w:pPr>
      <w:r>
        <w:rPr>
          <w:b/>
          <w:sz w:val="24"/>
        </w:rPr>
        <w:t>Section II - Hazard Ingredients/Identity Information</w:t>
      </w:r>
      <w:r>
        <w:rPr>
          <w:sz w:val="24"/>
        </w:rPr>
        <w:t xml:space="preserve"> </w:t>
      </w:r>
    </w:p>
    <w:tbl>
      <w:tblPr>
        <w:tblW w:w="10440" w:type="dxa"/>
        <w:tblInd w:w="100" w:type="dxa"/>
        <w:tblLayout w:type="fixed"/>
        <w:tblCellMar>
          <w:left w:w="100" w:type="dxa"/>
          <w:right w:w="100" w:type="dxa"/>
        </w:tblCellMar>
        <w:tblLook w:val="0000"/>
      </w:tblPr>
      <w:tblGrid>
        <w:gridCol w:w="4680"/>
        <w:gridCol w:w="1350"/>
        <w:gridCol w:w="1710"/>
        <w:gridCol w:w="1350"/>
        <w:gridCol w:w="1350"/>
      </w:tblGrid>
      <w:tr w:rsidR="00F2328A">
        <w:tblPrEx>
          <w:tblCellMar>
            <w:top w:w="0" w:type="dxa"/>
            <w:bottom w:w="0" w:type="dxa"/>
          </w:tblCellMar>
        </w:tblPrEx>
        <w:trPr>
          <w:trHeight w:val="621"/>
        </w:trPr>
        <w:tc>
          <w:tcPr>
            <w:tcW w:w="4680" w:type="dxa"/>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pPr>
            <w:r>
              <w:t>Hazardous Components (Specific Chemical Identity; Common Name(s))</w:t>
            </w:r>
          </w:p>
        </w:tc>
        <w:tc>
          <w:tcPr>
            <w:tcW w:w="1350" w:type="dxa"/>
            <w:tcBorders>
              <w:top w:val="single" w:sz="6" w:space="0" w:color="auto"/>
              <w:left w:val="single" w:sz="6" w:space="0" w:color="auto"/>
              <w:bottom w:val="single" w:sz="6" w:space="0" w:color="auto"/>
              <w:right w:val="single" w:sz="6" w:space="0" w:color="auto"/>
            </w:tcBorders>
          </w:tcPr>
          <w:p w:rsidR="00F2328A" w:rsidRDefault="00093FE0">
            <w:pPr>
              <w:numPr>
                <w:ilvl w:val="12"/>
                <w:numId w:val="0"/>
              </w:numPr>
            </w:pPr>
            <w:r>
              <w:t>CAS Number</w:t>
            </w:r>
          </w:p>
        </w:tc>
        <w:tc>
          <w:tcPr>
            <w:tcW w:w="1710" w:type="dxa"/>
            <w:tcBorders>
              <w:top w:val="single" w:sz="6" w:space="0" w:color="auto"/>
              <w:left w:val="single" w:sz="6" w:space="0" w:color="auto"/>
              <w:bottom w:val="single" w:sz="6" w:space="0" w:color="auto"/>
              <w:right w:val="single" w:sz="6" w:space="0" w:color="auto"/>
            </w:tcBorders>
          </w:tcPr>
          <w:p w:rsidR="00F2328A" w:rsidRDefault="00093FE0">
            <w:pPr>
              <w:numPr>
                <w:ilvl w:val="12"/>
                <w:numId w:val="0"/>
              </w:numPr>
            </w:pPr>
            <w:r>
              <w:t>Concentration (%)</w:t>
            </w:r>
          </w:p>
        </w:tc>
        <w:tc>
          <w:tcPr>
            <w:tcW w:w="1350" w:type="dxa"/>
            <w:tcBorders>
              <w:top w:val="single" w:sz="6" w:space="0" w:color="auto"/>
              <w:left w:val="single" w:sz="6" w:space="0" w:color="auto"/>
              <w:bottom w:val="single" w:sz="6" w:space="0" w:color="auto"/>
              <w:right w:val="single" w:sz="6" w:space="0" w:color="auto"/>
            </w:tcBorders>
          </w:tcPr>
          <w:p w:rsidR="00F2328A" w:rsidRDefault="00F10E8E">
            <w:pPr>
              <w:pStyle w:val="RestartList"/>
              <w:numPr>
                <w:ilvl w:val="12"/>
                <w:numId w:val="0"/>
              </w:numPr>
              <w:spacing w:line="240" w:lineRule="auto"/>
              <w:rPr>
                <w:rFonts w:ascii="Times New Roman" w:hAnsi="Times New Roman"/>
                <w:noProof w:val="0"/>
              </w:rPr>
            </w:pPr>
            <w:r>
              <w:rPr>
                <w:rFonts w:ascii="Times New Roman" w:hAnsi="Times New Roman"/>
                <w:noProof w:val="0"/>
              </w:rPr>
              <w:t>OSHA PEL (mg/m3)</w:t>
            </w:r>
          </w:p>
        </w:tc>
        <w:tc>
          <w:tcPr>
            <w:tcW w:w="1350" w:type="dxa"/>
            <w:tcBorders>
              <w:top w:val="single" w:sz="6" w:space="0" w:color="auto"/>
              <w:left w:val="single" w:sz="6" w:space="0" w:color="auto"/>
              <w:bottom w:val="single" w:sz="6" w:space="0" w:color="auto"/>
              <w:right w:val="single" w:sz="6" w:space="0" w:color="auto"/>
            </w:tcBorders>
          </w:tcPr>
          <w:p w:rsidR="00F2328A" w:rsidRPr="00F10E8E" w:rsidRDefault="00F10E8E">
            <w:pPr>
              <w:pStyle w:val="Address"/>
              <w:numPr>
                <w:ilvl w:val="12"/>
                <w:numId w:val="0"/>
              </w:numPr>
              <w:spacing w:before="0" w:after="0"/>
              <w:rPr>
                <w:rFonts w:ascii="Times New Roman" w:hAnsi="Times New Roman"/>
                <w:i w:val="0"/>
                <w:sz w:val="20"/>
              </w:rPr>
            </w:pPr>
            <w:r w:rsidRPr="00F10E8E">
              <w:rPr>
                <w:rFonts w:ascii="Times New Roman" w:hAnsi="Times New Roman"/>
                <w:i w:val="0"/>
                <w:sz w:val="20"/>
              </w:rPr>
              <w:t>ACG</w:t>
            </w:r>
            <w:r>
              <w:rPr>
                <w:rFonts w:ascii="Times New Roman" w:hAnsi="Times New Roman"/>
                <w:i w:val="0"/>
                <w:sz w:val="20"/>
              </w:rPr>
              <w:t>IH TLV (mg/m3)</w:t>
            </w:r>
          </w:p>
        </w:tc>
      </w:tr>
      <w:tr w:rsidR="00F2328A">
        <w:tblPrEx>
          <w:tblCellMar>
            <w:top w:w="0" w:type="dxa"/>
            <w:bottom w:w="0" w:type="dxa"/>
          </w:tblCellMar>
        </w:tblPrEx>
        <w:trPr>
          <w:trHeight w:val="617"/>
        </w:trPr>
        <w:tc>
          <w:tcPr>
            <w:tcW w:w="4680" w:type="dxa"/>
            <w:tcBorders>
              <w:top w:val="single" w:sz="6" w:space="0" w:color="auto"/>
              <w:left w:val="single" w:sz="6" w:space="0" w:color="auto"/>
              <w:bottom w:val="single" w:sz="6" w:space="0" w:color="auto"/>
              <w:right w:val="single" w:sz="6" w:space="0" w:color="auto"/>
            </w:tcBorders>
          </w:tcPr>
          <w:p w:rsidR="00F2328A" w:rsidRPr="00F10E8E" w:rsidRDefault="00F2328A">
            <w:pPr>
              <w:numPr>
                <w:ilvl w:val="12"/>
                <w:numId w:val="0"/>
              </w:numPr>
            </w:pPr>
          </w:p>
          <w:p w:rsidR="00F10E8E" w:rsidRPr="00F10E8E" w:rsidRDefault="00F10E8E">
            <w:pPr>
              <w:numPr>
                <w:ilvl w:val="12"/>
                <w:numId w:val="0"/>
              </w:numPr>
              <w:rPr>
                <w:b/>
                <w:sz w:val="24"/>
              </w:rPr>
            </w:pPr>
            <w:r w:rsidRPr="00F10E8E">
              <w:rPr>
                <w:b/>
              </w:rPr>
              <w:t>1. Crystalline Silica ( Quartz )</w:t>
            </w:r>
          </w:p>
        </w:tc>
        <w:tc>
          <w:tcPr>
            <w:tcW w:w="1350" w:type="dxa"/>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rPr>
                <w:sz w:val="24"/>
              </w:rPr>
            </w:pPr>
          </w:p>
          <w:p w:rsidR="00F10E8E" w:rsidRPr="00F10E8E" w:rsidRDefault="00F10E8E">
            <w:pPr>
              <w:numPr>
                <w:ilvl w:val="12"/>
                <w:numId w:val="0"/>
              </w:numPr>
              <w:rPr>
                <w:b/>
              </w:rPr>
            </w:pPr>
            <w:r w:rsidRPr="00F10E8E">
              <w:rPr>
                <w:b/>
              </w:rPr>
              <w:t>7631-86-9</w:t>
            </w:r>
          </w:p>
        </w:tc>
        <w:tc>
          <w:tcPr>
            <w:tcW w:w="1710" w:type="dxa"/>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rPr>
                <w:sz w:val="24"/>
              </w:rPr>
            </w:pPr>
          </w:p>
          <w:p w:rsidR="00F10E8E" w:rsidRPr="00F10E8E" w:rsidRDefault="00F10E8E">
            <w:pPr>
              <w:numPr>
                <w:ilvl w:val="12"/>
                <w:numId w:val="0"/>
              </w:numPr>
              <w:rPr>
                <w:b/>
              </w:rPr>
            </w:pPr>
            <w:r>
              <w:rPr>
                <w:b/>
              </w:rPr>
              <w:t>&lt; .5%</w:t>
            </w:r>
          </w:p>
        </w:tc>
        <w:tc>
          <w:tcPr>
            <w:tcW w:w="1350" w:type="dxa"/>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rPr>
                <w:sz w:val="24"/>
              </w:rPr>
            </w:pPr>
          </w:p>
          <w:p w:rsidR="00F10E8E" w:rsidRPr="00F10E8E" w:rsidRDefault="00F10E8E">
            <w:pPr>
              <w:numPr>
                <w:ilvl w:val="12"/>
                <w:numId w:val="0"/>
              </w:numPr>
              <w:rPr>
                <w:b/>
              </w:rPr>
            </w:pPr>
            <w:r w:rsidRPr="00F10E8E">
              <w:rPr>
                <w:b/>
              </w:rPr>
              <w:t>10/%SiO2 +2</w:t>
            </w:r>
          </w:p>
        </w:tc>
        <w:tc>
          <w:tcPr>
            <w:tcW w:w="1350" w:type="dxa"/>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rPr>
                <w:sz w:val="24"/>
              </w:rPr>
            </w:pPr>
          </w:p>
          <w:p w:rsidR="00F10E8E" w:rsidRPr="00F10E8E" w:rsidRDefault="00F10E8E">
            <w:pPr>
              <w:numPr>
                <w:ilvl w:val="12"/>
                <w:numId w:val="0"/>
              </w:numPr>
              <w:rPr>
                <w:b/>
              </w:rPr>
            </w:pPr>
            <w:r w:rsidRPr="00F10E8E">
              <w:rPr>
                <w:b/>
              </w:rPr>
              <w:t>0.05</w:t>
            </w:r>
          </w:p>
        </w:tc>
      </w:tr>
      <w:tr w:rsidR="00F2328A">
        <w:tblPrEx>
          <w:tblCellMar>
            <w:top w:w="0" w:type="dxa"/>
            <w:bottom w:w="0" w:type="dxa"/>
          </w:tblCellMar>
        </w:tblPrEx>
        <w:trPr>
          <w:trHeight w:val="617"/>
        </w:trPr>
        <w:tc>
          <w:tcPr>
            <w:tcW w:w="4680" w:type="dxa"/>
            <w:tcBorders>
              <w:top w:val="single" w:sz="6" w:space="0" w:color="auto"/>
              <w:left w:val="single" w:sz="6" w:space="0" w:color="auto"/>
              <w:bottom w:val="single" w:sz="6" w:space="0" w:color="auto"/>
              <w:right w:val="single" w:sz="6" w:space="0" w:color="auto"/>
            </w:tcBorders>
          </w:tcPr>
          <w:p w:rsidR="00F2328A" w:rsidRPr="00F10E8E" w:rsidRDefault="00F2328A">
            <w:pPr>
              <w:numPr>
                <w:ilvl w:val="12"/>
                <w:numId w:val="0"/>
              </w:numPr>
              <w:rPr>
                <w:b/>
              </w:rPr>
            </w:pPr>
          </w:p>
          <w:p w:rsidR="00F10E8E" w:rsidRDefault="00F10E8E">
            <w:pPr>
              <w:numPr>
                <w:ilvl w:val="12"/>
                <w:numId w:val="0"/>
              </w:numPr>
              <w:rPr>
                <w:sz w:val="24"/>
              </w:rPr>
            </w:pPr>
            <w:r w:rsidRPr="00F10E8E">
              <w:rPr>
                <w:b/>
              </w:rPr>
              <w:t>2. Amorphous Silica ( fused )</w:t>
            </w:r>
          </w:p>
        </w:tc>
        <w:tc>
          <w:tcPr>
            <w:tcW w:w="1350" w:type="dxa"/>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rPr>
                <w:sz w:val="24"/>
              </w:rPr>
            </w:pPr>
          </w:p>
          <w:p w:rsidR="00F10E8E" w:rsidRPr="00F10E8E" w:rsidRDefault="004929F7">
            <w:pPr>
              <w:numPr>
                <w:ilvl w:val="12"/>
                <w:numId w:val="0"/>
              </w:numPr>
              <w:rPr>
                <w:b/>
              </w:rPr>
            </w:pPr>
            <w:r>
              <w:rPr>
                <w:b/>
              </w:rPr>
              <w:t>60676-86-0</w:t>
            </w:r>
          </w:p>
        </w:tc>
        <w:tc>
          <w:tcPr>
            <w:tcW w:w="1710" w:type="dxa"/>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rPr>
                <w:sz w:val="24"/>
              </w:rPr>
            </w:pPr>
          </w:p>
          <w:p w:rsidR="004929F7" w:rsidRPr="004929F7" w:rsidRDefault="004929F7">
            <w:pPr>
              <w:numPr>
                <w:ilvl w:val="12"/>
                <w:numId w:val="0"/>
              </w:numPr>
              <w:rPr>
                <w:b/>
              </w:rPr>
            </w:pPr>
            <w:r>
              <w:rPr>
                <w:b/>
              </w:rPr>
              <w:t>62-71</w:t>
            </w:r>
          </w:p>
        </w:tc>
        <w:tc>
          <w:tcPr>
            <w:tcW w:w="1350" w:type="dxa"/>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rPr>
                <w:sz w:val="24"/>
              </w:rPr>
            </w:pPr>
          </w:p>
          <w:p w:rsidR="004929F7" w:rsidRPr="004929F7" w:rsidRDefault="004929F7">
            <w:pPr>
              <w:numPr>
                <w:ilvl w:val="12"/>
                <w:numId w:val="0"/>
              </w:numPr>
              <w:rPr>
                <w:b/>
              </w:rPr>
            </w:pPr>
            <w:r>
              <w:rPr>
                <w:b/>
              </w:rPr>
              <w:t>80/%SiO2</w:t>
            </w:r>
          </w:p>
        </w:tc>
        <w:tc>
          <w:tcPr>
            <w:tcW w:w="1350" w:type="dxa"/>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rPr>
                <w:sz w:val="24"/>
              </w:rPr>
            </w:pPr>
          </w:p>
          <w:p w:rsidR="004929F7" w:rsidRPr="004929F7" w:rsidRDefault="004929F7">
            <w:pPr>
              <w:numPr>
                <w:ilvl w:val="12"/>
                <w:numId w:val="0"/>
              </w:numPr>
              <w:rPr>
                <w:b/>
              </w:rPr>
            </w:pPr>
            <w:r>
              <w:rPr>
                <w:b/>
              </w:rPr>
              <w:t>0.1</w:t>
            </w:r>
          </w:p>
        </w:tc>
      </w:tr>
    </w:tbl>
    <w:p w:rsidR="00F2328A" w:rsidRDefault="00F2328A">
      <w:pPr>
        <w:numPr>
          <w:ilvl w:val="12"/>
          <w:numId w:val="0"/>
        </w:numPr>
        <w:spacing w:before="60" w:after="60"/>
        <w:rPr>
          <w:b/>
          <w:sz w:val="24"/>
        </w:rPr>
      </w:pPr>
    </w:p>
    <w:p w:rsidR="00F2328A" w:rsidRDefault="00F2328A">
      <w:pPr>
        <w:numPr>
          <w:ilvl w:val="12"/>
          <w:numId w:val="0"/>
        </w:numPr>
        <w:spacing w:before="60" w:after="60"/>
        <w:rPr>
          <w:b/>
          <w:sz w:val="24"/>
        </w:rPr>
      </w:pPr>
    </w:p>
    <w:p w:rsidR="00F2328A" w:rsidRDefault="00F2328A">
      <w:pPr>
        <w:numPr>
          <w:ilvl w:val="12"/>
          <w:numId w:val="0"/>
        </w:numPr>
        <w:spacing w:before="60" w:after="60"/>
        <w:rPr>
          <w:b/>
          <w:sz w:val="24"/>
        </w:rPr>
      </w:pPr>
    </w:p>
    <w:p w:rsidR="00F2328A" w:rsidRDefault="00F2328A">
      <w:pPr>
        <w:numPr>
          <w:ilvl w:val="12"/>
          <w:numId w:val="0"/>
        </w:numPr>
        <w:spacing w:before="60" w:after="60"/>
        <w:rPr>
          <w:b/>
          <w:sz w:val="24"/>
        </w:rPr>
      </w:pPr>
    </w:p>
    <w:p w:rsidR="001D5510" w:rsidRDefault="001D5510">
      <w:pPr>
        <w:numPr>
          <w:ilvl w:val="12"/>
          <w:numId w:val="0"/>
        </w:numPr>
        <w:spacing w:before="60" w:after="60"/>
        <w:rPr>
          <w:b/>
          <w:sz w:val="24"/>
        </w:rPr>
      </w:pPr>
    </w:p>
    <w:p w:rsidR="001D5510" w:rsidRDefault="001D5510">
      <w:pPr>
        <w:numPr>
          <w:ilvl w:val="12"/>
          <w:numId w:val="0"/>
        </w:numPr>
        <w:spacing w:before="60" w:after="60"/>
        <w:rPr>
          <w:b/>
          <w:sz w:val="24"/>
        </w:rPr>
      </w:pPr>
    </w:p>
    <w:p w:rsidR="001D5510" w:rsidRDefault="001D5510">
      <w:pPr>
        <w:numPr>
          <w:ilvl w:val="12"/>
          <w:numId w:val="0"/>
        </w:numPr>
        <w:spacing w:before="60" w:after="60"/>
        <w:rPr>
          <w:b/>
          <w:sz w:val="24"/>
        </w:rPr>
      </w:pPr>
    </w:p>
    <w:p w:rsidR="001D5510" w:rsidRDefault="001D5510">
      <w:pPr>
        <w:numPr>
          <w:ilvl w:val="12"/>
          <w:numId w:val="0"/>
        </w:numPr>
        <w:spacing w:before="60" w:after="60"/>
        <w:rPr>
          <w:b/>
          <w:sz w:val="24"/>
        </w:rPr>
      </w:pPr>
    </w:p>
    <w:p w:rsidR="001D5510" w:rsidRDefault="001D5510">
      <w:pPr>
        <w:numPr>
          <w:ilvl w:val="12"/>
          <w:numId w:val="0"/>
        </w:numPr>
        <w:spacing w:before="60" w:after="60"/>
        <w:rPr>
          <w:b/>
          <w:sz w:val="24"/>
        </w:rPr>
      </w:pPr>
    </w:p>
    <w:p w:rsidR="001D5510" w:rsidRDefault="001D5510">
      <w:pPr>
        <w:numPr>
          <w:ilvl w:val="12"/>
          <w:numId w:val="0"/>
        </w:numPr>
        <w:spacing w:before="60" w:after="60"/>
        <w:rPr>
          <w:b/>
          <w:sz w:val="24"/>
        </w:rPr>
      </w:pPr>
    </w:p>
    <w:p w:rsidR="00F2328A" w:rsidRDefault="00F2328A">
      <w:pPr>
        <w:numPr>
          <w:ilvl w:val="12"/>
          <w:numId w:val="0"/>
        </w:numPr>
        <w:spacing w:before="60" w:after="60"/>
        <w:rPr>
          <w:sz w:val="24"/>
        </w:rPr>
      </w:pPr>
      <w:r>
        <w:rPr>
          <w:b/>
          <w:sz w:val="24"/>
        </w:rPr>
        <w:t>Section III - Physical/Chemical Characteristics</w:t>
      </w:r>
      <w:r>
        <w:rPr>
          <w:sz w:val="24"/>
        </w:rPr>
        <w:t xml:space="preserve"> </w:t>
      </w:r>
    </w:p>
    <w:tbl>
      <w:tblPr>
        <w:tblW w:w="0" w:type="auto"/>
        <w:tblInd w:w="100" w:type="dxa"/>
        <w:tblLayout w:type="fixed"/>
        <w:tblCellMar>
          <w:left w:w="100" w:type="dxa"/>
          <w:right w:w="100" w:type="dxa"/>
        </w:tblCellMar>
        <w:tblLook w:val="0000"/>
      </w:tblPr>
      <w:tblGrid>
        <w:gridCol w:w="2750"/>
        <w:gridCol w:w="2290"/>
        <w:gridCol w:w="2745"/>
        <w:gridCol w:w="2290"/>
      </w:tblGrid>
      <w:tr w:rsidR="00F2328A">
        <w:tblPrEx>
          <w:tblCellMar>
            <w:top w:w="0" w:type="dxa"/>
            <w:bottom w:w="0" w:type="dxa"/>
          </w:tblCellMar>
        </w:tblPrEx>
        <w:tc>
          <w:tcPr>
            <w:tcW w:w="2750" w:type="dxa"/>
            <w:tcBorders>
              <w:top w:val="single" w:sz="6" w:space="0" w:color="auto"/>
              <w:left w:val="single" w:sz="6" w:space="0" w:color="auto"/>
              <w:bottom w:val="single" w:sz="6" w:space="0" w:color="auto"/>
              <w:right w:val="single" w:sz="6" w:space="0" w:color="auto"/>
            </w:tcBorders>
          </w:tcPr>
          <w:p w:rsidR="00F2328A" w:rsidRDefault="00F2328A">
            <w:pPr>
              <w:pStyle w:val="RestartList"/>
              <w:numPr>
                <w:ilvl w:val="12"/>
                <w:numId w:val="0"/>
              </w:numPr>
              <w:spacing w:line="240" w:lineRule="auto"/>
              <w:rPr>
                <w:rFonts w:ascii="Times New Roman" w:hAnsi="Times New Roman"/>
                <w:noProof w:val="0"/>
              </w:rPr>
            </w:pPr>
            <w:r>
              <w:rPr>
                <w:rFonts w:ascii="Times New Roman" w:hAnsi="Times New Roman"/>
                <w:noProof w:val="0"/>
              </w:rPr>
              <w:lastRenderedPageBreak/>
              <w:t>Boiling Point</w:t>
            </w:r>
            <w:r w:rsidR="004929F7">
              <w:rPr>
                <w:rFonts w:ascii="Times New Roman" w:hAnsi="Times New Roman"/>
                <w:noProof w:val="0"/>
              </w:rPr>
              <w:t xml:space="preserve"> </w:t>
            </w:r>
            <w:r w:rsidR="004929F7" w:rsidRPr="004929F7">
              <w:rPr>
                <w:rFonts w:ascii="Times New Roman" w:hAnsi="Times New Roman"/>
                <w:noProof w:val="0"/>
                <w:sz w:val="18"/>
                <w:szCs w:val="18"/>
              </w:rPr>
              <w:t xml:space="preserve">( Specify </w:t>
            </w:r>
            <w:r w:rsidR="004929F7" w:rsidRPr="004929F7">
              <w:rPr>
                <w:sz w:val="18"/>
                <w:szCs w:val="18"/>
                <w:vertAlign w:val="superscript"/>
              </w:rPr>
              <w:t>o</w:t>
            </w:r>
            <w:r w:rsidR="004929F7" w:rsidRPr="004929F7">
              <w:rPr>
                <w:rFonts w:ascii="Times New Roman" w:hAnsi="Times New Roman"/>
                <w:noProof w:val="0"/>
                <w:sz w:val="18"/>
                <w:szCs w:val="18"/>
              </w:rPr>
              <w:t xml:space="preserve">F or </w:t>
            </w:r>
            <w:r w:rsidR="004929F7" w:rsidRPr="004929F7">
              <w:rPr>
                <w:sz w:val="18"/>
                <w:szCs w:val="18"/>
                <w:vertAlign w:val="superscript"/>
              </w:rPr>
              <w:t>o</w:t>
            </w:r>
            <w:r w:rsidR="004929F7" w:rsidRPr="004929F7">
              <w:rPr>
                <w:rFonts w:ascii="Times New Roman" w:hAnsi="Times New Roman"/>
                <w:noProof w:val="0"/>
                <w:sz w:val="18"/>
                <w:szCs w:val="18"/>
              </w:rPr>
              <w:t>C )</w:t>
            </w:r>
          </w:p>
        </w:tc>
        <w:tc>
          <w:tcPr>
            <w:tcW w:w="2290" w:type="dxa"/>
            <w:tcBorders>
              <w:top w:val="single" w:sz="6" w:space="0" w:color="auto"/>
              <w:left w:val="single" w:sz="6" w:space="0" w:color="auto"/>
              <w:bottom w:val="single" w:sz="6" w:space="0" w:color="auto"/>
              <w:right w:val="single" w:sz="6" w:space="0" w:color="auto"/>
            </w:tcBorders>
          </w:tcPr>
          <w:p w:rsidR="00F2328A" w:rsidRPr="001D5510" w:rsidRDefault="00F2328A">
            <w:pPr>
              <w:numPr>
                <w:ilvl w:val="12"/>
                <w:numId w:val="0"/>
              </w:numPr>
              <w:rPr>
                <w:b/>
              </w:rPr>
            </w:pPr>
            <w:r>
              <w:rPr>
                <w:sz w:val="24"/>
              </w:rPr>
              <w:t> </w:t>
            </w:r>
            <w:r w:rsidR="001D5510" w:rsidRPr="001D5510">
              <w:rPr>
                <w:b/>
              </w:rPr>
              <w:t>Not Applicable</w:t>
            </w:r>
          </w:p>
          <w:p w:rsidR="004929F7" w:rsidRDefault="004929F7">
            <w:pPr>
              <w:numPr>
                <w:ilvl w:val="12"/>
                <w:numId w:val="0"/>
              </w:numPr>
              <w:rPr>
                <w:sz w:val="24"/>
              </w:rPr>
            </w:pPr>
          </w:p>
        </w:tc>
        <w:tc>
          <w:tcPr>
            <w:tcW w:w="2745" w:type="dxa"/>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pPr>
            <w:r>
              <w:t>Specific Gravity (H</w:t>
            </w:r>
            <w:r>
              <w:rPr>
                <w:vertAlign w:val="subscript"/>
              </w:rPr>
              <w:t>2</w:t>
            </w:r>
            <w:r>
              <w:t xml:space="preserve">O = 1) </w:t>
            </w:r>
            <w:r>
              <w:br/>
              <w:t> </w:t>
            </w:r>
          </w:p>
        </w:tc>
        <w:tc>
          <w:tcPr>
            <w:tcW w:w="2290" w:type="dxa"/>
            <w:tcBorders>
              <w:top w:val="single" w:sz="6" w:space="0" w:color="auto"/>
              <w:left w:val="single" w:sz="6" w:space="0" w:color="auto"/>
              <w:bottom w:val="single" w:sz="6" w:space="0" w:color="auto"/>
              <w:right w:val="single" w:sz="6" w:space="0" w:color="auto"/>
            </w:tcBorders>
          </w:tcPr>
          <w:p w:rsidR="00F2328A" w:rsidRPr="001D5510" w:rsidRDefault="00F2328A">
            <w:pPr>
              <w:numPr>
                <w:ilvl w:val="12"/>
                <w:numId w:val="0"/>
              </w:numPr>
              <w:rPr>
                <w:b/>
              </w:rPr>
            </w:pPr>
            <w:r>
              <w:rPr>
                <w:sz w:val="24"/>
              </w:rPr>
              <w:t> </w:t>
            </w:r>
            <w:r w:rsidR="001D5510" w:rsidRPr="001D5510">
              <w:rPr>
                <w:b/>
              </w:rPr>
              <w:t>1.75 – 2.93</w:t>
            </w:r>
            <w:r w:rsidRPr="001D5510">
              <w:rPr>
                <w:b/>
              </w:rPr>
              <w:br/>
              <w:t> </w:t>
            </w:r>
          </w:p>
        </w:tc>
      </w:tr>
      <w:tr w:rsidR="00F2328A">
        <w:tblPrEx>
          <w:tblCellMar>
            <w:top w:w="0" w:type="dxa"/>
            <w:bottom w:w="0" w:type="dxa"/>
          </w:tblCellMar>
        </w:tblPrEx>
        <w:tc>
          <w:tcPr>
            <w:tcW w:w="2750" w:type="dxa"/>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pPr>
            <w:r>
              <w:t>Vapor Pressure (mm Hg.)</w:t>
            </w:r>
          </w:p>
        </w:tc>
        <w:tc>
          <w:tcPr>
            <w:tcW w:w="2290" w:type="dxa"/>
            <w:tcBorders>
              <w:top w:val="single" w:sz="6" w:space="0" w:color="auto"/>
              <w:left w:val="single" w:sz="6" w:space="0" w:color="auto"/>
              <w:bottom w:val="single" w:sz="6" w:space="0" w:color="auto"/>
              <w:right w:val="single" w:sz="6" w:space="0" w:color="auto"/>
            </w:tcBorders>
          </w:tcPr>
          <w:p w:rsidR="001D5510" w:rsidRPr="001D5510" w:rsidRDefault="00F2328A" w:rsidP="001D5510">
            <w:pPr>
              <w:numPr>
                <w:ilvl w:val="12"/>
                <w:numId w:val="0"/>
              </w:numPr>
              <w:rPr>
                <w:b/>
              </w:rPr>
            </w:pPr>
            <w:r>
              <w:rPr>
                <w:sz w:val="24"/>
              </w:rPr>
              <w:t> </w:t>
            </w:r>
            <w:r w:rsidR="001D5510" w:rsidRPr="001D5510">
              <w:rPr>
                <w:b/>
              </w:rPr>
              <w:t>Not Applicable</w:t>
            </w:r>
          </w:p>
          <w:p w:rsidR="00F2328A" w:rsidRDefault="00F2328A">
            <w:pPr>
              <w:numPr>
                <w:ilvl w:val="12"/>
                <w:numId w:val="0"/>
              </w:numPr>
              <w:rPr>
                <w:sz w:val="24"/>
              </w:rPr>
            </w:pPr>
          </w:p>
        </w:tc>
        <w:tc>
          <w:tcPr>
            <w:tcW w:w="2745" w:type="dxa"/>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pPr>
            <w:r>
              <w:t>Melting Point</w:t>
            </w:r>
          </w:p>
        </w:tc>
        <w:tc>
          <w:tcPr>
            <w:tcW w:w="2290" w:type="dxa"/>
            <w:tcBorders>
              <w:top w:val="single" w:sz="6" w:space="0" w:color="auto"/>
              <w:left w:val="single" w:sz="6" w:space="0" w:color="auto"/>
              <w:bottom w:val="single" w:sz="6" w:space="0" w:color="auto"/>
              <w:right w:val="single" w:sz="6" w:space="0" w:color="auto"/>
            </w:tcBorders>
          </w:tcPr>
          <w:p w:rsidR="00F2328A" w:rsidRPr="001D5510" w:rsidRDefault="00F2328A">
            <w:pPr>
              <w:numPr>
                <w:ilvl w:val="12"/>
                <w:numId w:val="0"/>
              </w:numPr>
              <w:rPr>
                <w:b/>
              </w:rPr>
            </w:pPr>
            <w:r>
              <w:rPr>
                <w:sz w:val="24"/>
              </w:rPr>
              <w:t xml:space="preserve">  </w:t>
            </w:r>
            <w:r w:rsidR="001D5510" w:rsidRPr="001D5510">
              <w:rPr>
                <w:b/>
              </w:rPr>
              <w:t xml:space="preserve">&gt; 2000 </w:t>
            </w:r>
            <w:r w:rsidR="001D5510" w:rsidRPr="001D5510">
              <w:rPr>
                <w:b/>
                <w:vertAlign w:val="superscript"/>
              </w:rPr>
              <w:t>o</w:t>
            </w:r>
            <w:r w:rsidR="001D5510">
              <w:rPr>
                <w:b/>
                <w:vertAlign w:val="superscript"/>
              </w:rPr>
              <w:t xml:space="preserve"> </w:t>
            </w:r>
            <w:r w:rsidR="001D5510" w:rsidRPr="001D5510">
              <w:rPr>
                <w:b/>
              </w:rPr>
              <w:t>F</w:t>
            </w:r>
            <w:r w:rsidRPr="001D5510">
              <w:rPr>
                <w:b/>
              </w:rPr>
              <w:br/>
              <w:t> </w:t>
            </w:r>
          </w:p>
        </w:tc>
      </w:tr>
      <w:tr w:rsidR="00F2328A">
        <w:tblPrEx>
          <w:tblCellMar>
            <w:top w:w="0" w:type="dxa"/>
            <w:bottom w:w="0" w:type="dxa"/>
          </w:tblCellMar>
        </w:tblPrEx>
        <w:tc>
          <w:tcPr>
            <w:tcW w:w="2750" w:type="dxa"/>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pPr>
            <w:r>
              <w:t>Vapor Density (AIR = 1)</w:t>
            </w:r>
          </w:p>
        </w:tc>
        <w:tc>
          <w:tcPr>
            <w:tcW w:w="2290" w:type="dxa"/>
            <w:tcBorders>
              <w:top w:val="single" w:sz="6" w:space="0" w:color="auto"/>
              <w:left w:val="single" w:sz="6" w:space="0" w:color="auto"/>
              <w:bottom w:val="single" w:sz="6" w:space="0" w:color="auto"/>
              <w:right w:val="single" w:sz="6" w:space="0" w:color="auto"/>
            </w:tcBorders>
          </w:tcPr>
          <w:p w:rsidR="001D5510" w:rsidRPr="001D5510" w:rsidRDefault="00F2328A" w:rsidP="001D5510">
            <w:pPr>
              <w:numPr>
                <w:ilvl w:val="12"/>
                <w:numId w:val="0"/>
              </w:numPr>
              <w:rPr>
                <w:b/>
              </w:rPr>
            </w:pPr>
            <w:r>
              <w:rPr>
                <w:sz w:val="24"/>
              </w:rPr>
              <w:t> </w:t>
            </w:r>
            <w:r w:rsidR="001D5510" w:rsidRPr="001D5510">
              <w:rPr>
                <w:b/>
              </w:rPr>
              <w:t>Not Applicable</w:t>
            </w:r>
          </w:p>
          <w:p w:rsidR="00F2328A" w:rsidRDefault="00F2328A">
            <w:pPr>
              <w:numPr>
                <w:ilvl w:val="12"/>
                <w:numId w:val="0"/>
              </w:numPr>
              <w:rPr>
                <w:sz w:val="24"/>
              </w:rPr>
            </w:pPr>
          </w:p>
        </w:tc>
        <w:tc>
          <w:tcPr>
            <w:tcW w:w="2745" w:type="dxa"/>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pPr>
            <w:r>
              <w:t xml:space="preserve">Evaporation Rate </w:t>
            </w:r>
            <w:r>
              <w:br/>
              <w:t>(Butyl Acetate = 1)</w:t>
            </w:r>
          </w:p>
        </w:tc>
        <w:tc>
          <w:tcPr>
            <w:tcW w:w="2290" w:type="dxa"/>
            <w:tcBorders>
              <w:top w:val="single" w:sz="6" w:space="0" w:color="auto"/>
              <w:left w:val="single" w:sz="6" w:space="0" w:color="auto"/>
              <w:bottom w:val="single" w:sz="6" w:space="0" w:color="auto"/>
              <w:right w:val="single" w:sz="6" w:space="0" w:color="auto"/>
            </w:tcBorders>
          </w:tcPr>
          <w:p w:rsidR="00F2328A" w:rsidRPr="001D5510" w:rsidRDefault="00F2328A">
            <w:pPr>
              <w:numPr>
                <w:ilvl w:val="12"/>
                <w:numId w:val="0"/>
              </w:numPr>
              <w:rPr>
                <w:b/>
              </w:rPr>
            </w:pPr>
            <w:r>
              <w:rPr>
                <w:sz w:val="24"/>
              </w:rPr>
              <w:t> </w:t>
            </w:r>
            <w:r w:rsidR="001D5510">
              <w:rPr>
                <w:b/>
              </w:rPr>
              <w:t xml:space="preserve"> Not A</w:t>
            </w:r>
            <w:r w:rsidR="001D5510" w:rsidRPr="001D5510">
              <w:rPr>
                <w:b/>
              </w:rPr>
              <w:t>pplicable</w:t>
            </w:r>
            <w:r w:rsidRPr="001D5510">
              <w:rPr>
                <w:b/>
              </w:rPr>
              <w:br/>
              <w:t> </w:t>
            </w:r>
          </w:p>
        </w:tc>
      </w:tr>
      <w:tr w:rsidR="00F2328A">
        <w:tblPrEx>
          <w:tblCellMar>
            <w:top w:w="0" w:type="dxa"/>
            <w:bottom w:w="0" w:type="dxa"/>
          </w:tblCellMar>
        </w:tblPrEx>
        <w:tc>
          <w:tcPr>
            <w:tcW w:w="10075" w:type="dxa"/>
            <w:gridSpan w:val="4"/>
            <w:tcBorders>
              <w:top w:val="single" w:sz="6" w:space="0" w:color="auto"/>
              <w:left w:val="single" w:sz="6" w:space="0" w:color="auto"/>
              <w:bottom w:val="single" w:sz="6" w:space="0" w:color="auto"/>
              <w:right w:val="single" w:sz="6" w:space="0" w:color="auto"/>
            </w:tcBorders>
          </w:tcPr>
          <w:p w:rsidR="001D5510" w:rsidRDefault="00F2328A">
            <w:pPr>
              <w:numPr>
                <w:ilvl w:val="12"/>
                <w:numId w:val="0"/>
              </w:numPr>
            </w:pPr>
            <w:r>
              <w:t>Solubility in Water</w:t>
            </w:r>
            <w:r w:rsidR="001D5510">
              <w:t xml:space="preserve">                                                                    Appearance And Odor</w:t>
            </w:r>
          </w:p>
          <w:p w:rsidR="00F2328A" w:rsidRPr="001D5510" w:rsidRDefault="001D5510">
            <w:pPr>
              <w:numPr>
                <w:ilvl w:val="12"/>
                <w:numId w:val="0"/>
              </w:numPr>
              <w:rPr>
                <w:b/>
              </w:rPr>
            </w:pPr>
            <w:r w:rsidRPr="001D5510">
              <w:rPr>
                <w:b/>
              </w:rPr>
              <w:t xml:space="preserve">   Insoluble</w:t>
            </w:r>
            <w:r>
              <w:rPr>
                <w:b/>
              </w:rPr>
              <w:t xml:space="preserve">                                                                                             Brittle solid; color may vary and Odorless</w:t>
            </w:r>
            <w:r w:rsidR="00F2328A" w:rsidRPr="001D5510">
              <w:rPr>
                <w:b/>
              </w:rPr>
              <w:br/>
              <w:t> </w:t>
            </w:r>
          </w:p>
        </w:tc>
      </w:tr>
    </w:tbl>
    <w:p w:rsidR="00F2328A" w:rsidRDefault="00F2328A" w:rsidP="004929F7">
      <w:pPr>
        <w:numPr>
          <w:ilvl w:val="12"/>
          <w:numId w:val="0"/>
        </w:numPr>
        <w:spacing w:before="60" w:after="60"/>
        <w:jc w:val="right"/>
        <w:rPr>
          <w:b/>
          <w:sz w:val="24"/>
        </w:rPr>
      </w:pPr>
    </w:p>
    <w:p w:rsidR="00F2328A" w:rsidRDefault="00F2328A">
      <w:pPr>
        <w:numPr>
          <w:ilvl w:val="12"/>
          <w:numId w:val="0"/>
        </w:numPr>
        <w:spacing w:before="60" w:after="60"/>
        <w:rPr>
          <w:sz w:val="24"/>
        </w:rPr>
      </w:pPr>
      <w:r>
        <w:rPr>
          <w:b/>
          <w:sz w:val="24"/>
        </w:rPr>
        <w:t>Section IV - Fire and Explosion Hazard Data</w:t>
      </w:r>
      <w:r>
        <w:rPr>
          <w:sz w:val="24"/>
        </w:rPr>
        <w:t xml:space="preserve"> </w:t>
      </w:r>
    </w:p>
    <w:tbl>
      <w:tblPr>
        <w:tblW w:w="0" w:type="auto"/>
        <w:tblInd w:w="100" w:type="dxa"/>
        <w:tblLayout w:type="fixed"/>
        <w:tblCellMar>
          <w:left w:w="100" w:type="dxa"/>
          <w:right w:w="100" w:type="dxa"/>
        </w:tblCellMar>
        <w:tblLook w:val="0000"/>
      </w:tblPr>
      <w:tblGrid>
        <w:gridCol w:w="3511"/>
        <w:gridCol w:w="2187"/>
        <w:gridCol w:w="2187"/>
        <w:gridCol w:w="2187"/>
      </w:tblGrid>
      <w:tr w:rsidR="00F2328A">
        <w:tblPrEx>
          <w:tblCellMar>
            <w:top w:w="0" w:type="dxa"/>
            <w:bottom w:w="0" w:type="dxa"/>
          </w:tblCellMar>
        </w:tblPrEx>
        <w:tc>
          <w:tcPr>
            <w:tcW w:w="3511" w:type="dxa"/>
            <w:tcBorders>
              <w:top w:val="single" w:sz="6" w:space="0" w:color="auto"/>
              <w:left w:val="single" w:sz="6" w:space="0" w:color="auto"/>
              <w:bottom w:val="single" w:sz="6" w:space="0" w:color="auto"/>
              <w:right w:val="single" w:sz="6" w:space="0" w:color="auto"/>
            </w:tcBorders>
          </w:tcPr>
          <w:p w:rsidR="00F2328A" w:rsidRDefault="00F2328A">
            <w:pPr>
              <w:pStyle w:val="RestartList"/>
              <w:numPr>
                <w:ilvl w:val="12"/>
                <w:numId w:val="0"/>
              </w:numPr>
              <w:spacing w:line="240" w:lineRule="auto"/>
              <w:rPr>
                <w:rFonts w:ascii="Times New Roman" w:hAnsi="Times New Roman"/>
                <w:noProof w:val="0"/>
              </w:rPr>
            </w:pPr>
            <w:r>
              <w:rPr>
                <w:rFonts w:ascii="Times New Roman" w:hAnsi="Times New Roman"/>
                <w:noProof w:val="0"/>
              </w:rPr>
              <w:t>Flash Point (Method Used)</w:t>
            </w:r>
          </w:p>
          <w:p w:rsidR="00F2328A" w:rsidRPr="001D5510" w:rsidRDefault="001D5510">
            <w:pPr>
              <w:rPr>
                <w:b/>
              </w:rPr>
            </w:pPr>
            <w:r w:rsidRPr="001D5510">
              <w:rPr>
                <w:b/>
              </w:rPr>
              <w:t>Not Applicable</w:t>
            </w:r>
          </w:p>
        </w:tc>
        <w:tc>
          <w:tcPr>
            <w:tcW w:w="2187" w:type="dxa"/>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pPr>
            <w:r>
              <w:t>Flammable Limits</w:t>
            </w:r>
          </w:p>
        </w:tc>
        <w:tc>
          <w:tcPr>
            <w:tcW w:w="2187" w:type="dxa"/>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pPr>
            <w:r>
              <w:t xml:space="preserve">LEL </w:t>
            </w:r>
          </w:p>
          <w:p w:rsidR="00F2328A" w:rsidRPr="001D5510" w:rsidRDefault="001D5510">
            <w:pPr>
              <w:numPr>
                <w:ilvl w:val="12"/>
                <w:numId w:val="0"/>
              </w:numPr>
              <w:rPr>
                <w:b/>
              </w:rPr>
            </w:pPr>
            <w:r w:rsidRPr="001D5510">
              <w:rPr>
                <w:b/>
              </w:rPr>
              <w:t>Not Applicable</w:t>
            </w:r>
            <w:r w:rsidR="00F2328A" w:rsidRPr="001D5510">
              <w:rPr>
                <w:b/>
              </w:rPr>
              <w:br/>
              <w:t> </w:t>
            </w:r>
          </w:p>
        </w:tc>
        <w:tc>
          <w:tcPr>
            <w:tcW w:w="2187" w:type="dxa"/>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pPr>
            <w:r>
              <w:t>UEL</w:t>
            </w:r>
            <w:r>
              <w:br/>
              <w:t> </w:t>
            </w:r>
            <w:r w:rsidR="001D5510" w:rsidRPr="001D5510">
              <w:rPr>
                <w:b/>
              </w:rPr>
              <w:t>Not Applicable</w:t>
            </w:r>
          </w:p>
        </w:tc>
      </w:tr>
      <w:tr w:rsidR="00F2328A">
        <w:tblPrEx>
          <w:tblCellMar>
            <w:top w:w="0" w:type="dxa"/>
            <w:bottom w:w="0" w:type="dxa"/>
          </w:tblCellMar>
        </w:tblPrEx>
        <w:tc>
          <w:tcPr>
            <w:tcW w:w="10072" w:type="dxa"/>
            <w:gridSpan w:val="4"/>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pPr>
            <w:r>
              <w:t>Extinguishing Media</w:t>
            </w:r>
            <w:r>
              <w:br/>
              <w:t> </w:t>
            </w:r>
            <w:r w:rsidR="001D5510" w:rsidRPr="001D5510">
              <w:rPr>
                <w:b/>
              </w:rPr>
              <w:t>None Required. Non-Flammable</w:t>
            </w:r>
          </w:p>
        </w:tc>
      </w:tr>
      <w:tr w:rsidR="00F2328A">
        <w:tblPrEx>
          <w:tblCellMar>
            <w:top w:w="0" w:type="dxa"/>
            <w:bottom w:w="0" w:type="dxa"/>
          </w:tblCellMar>
        </w:tblPrEx>
        <w:tc>
          <w:tcPr>
            <w:tcW w:w="10072" w:type="dxa"/>
            <w:gridSpan w:val="4"/>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pPr>
            <w:r>
              <w:t>Special Fire Fighting Procedures</w:t>
            </w:r>
            <w:r>
              <w:br/>
              <w:t> </w:t>
            </w:r>
          </w:p>
        </w:tc>
      </w:tr>
      <w:tr w:rsidR="00F2328A">
        <w:tblPrEx>
          <w:tblCellMar>
            <w:top w:w="0" w:type="dxa"/>
            <w:bottom w:w="0" w:type="dxa"/>
          </w:tblCellMar>
        </w:tblPrEx>
        <w:tc>
          <w:tcPr>
            <w:tcW w:w="10072" w:type="dxa"/>
            <w:gridSpan w:val="4"/>
            <w:tcBorders>
              <w:top w:val="single" w:sz="6" w:space="0" w:color="auto"/>
              <w:left w:val="single" w:sz="6" w:space="0" w:color="auto"/>
              <w:bottom w:val="single" w:sz="6" w:space="0" w:color="auto"/>
              <w:right w:val="single" w:sz="6" w:space="0" w:color="auto"/>
            </w:tcBorders>
          </w:tcPr>
          <w:p w:rsidR="00F2328A" w:rsidRPr="001D5510" w:rsidRDefault="00F2328A">
            <w:pPr>
              <w:numPr>
                <w:ilvl w:val="12"/>
                <w:numId w:val="0"/>
              </w:numPr>
              <w:rPr>
                <w:b/>
              </w:rPr>
            </w:pPr>
            <w:r>
              <w:t> </w:t>
            </w:r>
            <w:r>
              <w:br/>
              <w:t> </w:t>
            </w:r>
            <w:r w:rsidR="001D5510" w:rsidRPr="001D5510">
              <w:rPr>
                <w:b/>
              </w:rPr>
              <w:t>None Required</w:t>
            </w:r>
          </w:p>
        </w:tc>
      </w:tr>
      <w:tr w:rsidR="00F2328A">
        <w:tblPrEx>
          <w:tblCellMar>
            <w:top w:w="0" w:type="dxa"/>
            <w:bottom w:w="0" w:type="dxa"/>
          </w:tblCellMar>
        </w:tblPrEx>
        <w:tc>
          <w:tcPr>
            <w:tcW w:w="10072" w:type="dxa"/>
            <w:gridSpan w:val="4"/>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pPr>
            <w:r>
              <w:t>Unusual Fire and Explosion Hazards</w:t>
            </w:r>
            <w:r>
              <w:br/>
              <w:t> </w:t>
            </w:r>
          </w:p>
        </w:tc>
      </w:tr>
      <w:tr w:rsidR="00F2328A">
        <w:tblPrEx>
          <w:tblCellMar>
            <w:top w:w="0" w:type="dxa"/>
            <w:bottom w:w="0" w:type="dxa"/>
          </w:tblCellMar>
        </w:tblPrEx>
        <w:tc>
          <w:tcPr>
            <w:tcW w:w="10072" w:type="dxa"/>
            <w:gridSpan w:val="4"/>
            <w:tcBorders>
              <w:top w:val="single" w:sz="6" w:space="0" w:color="auto"/>
              <w:left w:val="single" w:sz="6" w:space="0" w:color="auto"/>
              <w:bottom w:val="single" w:sz="6" w:space="0" w:color="auto"/>
              <w:right w:val="single" w:sz="6" w:space="0" w:color="auto"/>
            </w:tcBorders>
          </w:tcPr>
          <w:p w:rsidR="00F2328A" w:rsidRPr="001D5510" w:rsidRDefault="00F2328A">
            <w:pPr>
              <w:numPr>
                <w:ilvl w:val="12"/>
                <w:numId w:val="0"/>
              </w:numPr>
              <w:rPr>
                <w:b/>
              </w:rPr>
            </w:pPr>
            <w:r>
              <w:t> </w:t>
            </w:r>
            <w:r>
              <w:br/>
              <w:t> </w:t>
            </w:r>
            <w:r w:rsidR="001D5510" w:rsidRPr="001D5510">
              <w:rPr>
                <w:b/>
              </w:rPr>
              <w:t>None Required</w:t>
            </w:r>
          </w:p>
        </w:tc>
      </w:tr>
    </w:tbl>
    <w:p w:rsidR="00F2328A" w:rsidRDefault="00F2328A">
      <w:pPr>
        <w:numPr>
          <w:ilvl w:val="12"/>
          <w:numId w:val="0"/>
        </w:numPr>
        <w:spacing w:before="60" w:after="60"/>
        <w:rPr>
          <w:sz w:val="24"/>
        </w:rPr>
      </w:pPr>
    </w:p>
    <w:p w:rsidR="00F2328A" w:rsidRDefault="00F2328A">
      <w:pPr>
        <w:numPr>
          <w:ilvl w:val="12"/>
          <w:numId w:val="0"/>
        </w:numPr>
        <w:spacing w:before="60" w:after="60"/>
        <w:rPr>
          <w:b/>
          <w:sz w:val="24"/>
        </w:rPr>
      </w:pPr>
    </w:p>
    <w:p w:rsidR="00F2328A" w:rsidRDefault="00F2328A">
      <w:pPr>
        <w:numPr>
          <w:ilvl w:val="12"/>
          <w:numId w:val="0"/>
        </w:numPr>
        <w:spacing w:before="60" w:after="60"/>
        <w:rPr>
          <w:b/>
          <w:sz w:val="24"/>
        </w:rPr>
      </w:pPr>
    </w:p>
    <w:p w:rsidR="00D02B82" w:rsidRDefault="00D02B82">
      <w:pPr>
        <w:numPr>
          <w:ilvl w:val="12"/>
          <w:numId w:val="0"/>
        </w:numPr>
        <w:spacing w:before="60" w:after="60"/>
        <w:rPr>
          <w:b/>
          <w:sz w:val="24"/>
        </w:rPr>
      </w:pPr>
    </w:p>
    <w:p w:rsidR="00D02B82" w:rsidRDefault="00D02B82">
      <w:pPr>
        <w:numPr>
          <w:ilvl w:val="12"/>
          <w:numId w:val="0"/>
        </w:numPr>
        <w:spacing w:before="60" w:after="60"/>
        <w:rPr>
          <w:b/>
          <w:sz w:val="24"/>
        </w:rPr>
      </w:pPr>
    </w:p>
    <w:p w:rsidR="00D02B82" w:rsidRDefault="00D02B82">
      <w:pPr>
        <w:numPr>
          <w:ilvl w:val="12"/>
          <w:numId w:val="0"/>
        </w:numPr>
        <w:spacing w:before="60" w:after="60"/>
        <w:rPr>
          <w:b/>
          <w:sz w:val="24"/>
        </w:rPr>
      </w:pPr>
    </w:p>
    <w:p w:rsidR="00D02B82" w:rsidRDefault="00D02B82">
      <w:pPr>
        <w:numPr>
          <w:ilvl w:val="12"/>
          <w:numId w:val="0"/>
        </w:numPr>
        <w:spacing w:before="60" w:after="60"/>
        <w:rPr>
          <w:b/>
          <w:sz w:val="24"/>
        </w:rPr>
      </w:pPr>
    </w:p>
    <w:p w:rsidR="00D02B82" w:rsidRDefault="00D02B82">
      <w:pPr>
        <w:numPr>
          <w:ilvl w:val="12"/>
          <w:numId w:val="0"/>
        </w:numPr>
        <w:spacing w:before="60" w:after="60"/>
        <w:rPr>
          <w:b/>
          <w:sz w:val="24"/>
        </w:rPr>
      </w:pPr>
    </w:p>
    <w:p w:rsidR="00D02B82" w:rsidRDefault="00D02B82">
      <w:pPr>
        <w:numPr>
          <w:ilvl w:val="12"/>
          <w:numId w:val="0"/>
        </w:numPr>
        <w:spacing w:before="60" w:after="60"/>
        <w:rPr>
          <w:b/>
          <w:sz w:val="24"/>
        </w:rPr>
      </w:pPr>
    </w:p>
    <w:p w:rsidR="00D02B82" w:rsidRDefault="00D02B82">
      <w:pPr>
        <w:numPr>
          <w:ilvl w:val="12"/>
          <w:numId w:val="0"/>
        </w:numPr>
        <w:spacing w:before="60" w:after="60"/>
        <w:rPr>
          <w:b/>
          <w:sz w:val="24"/>
        </w:rPr>
      </w:pPr>
    </w:p>
    <w:p w:rsidR="00D02B82" w:rsidRDefault="00D02B82">
      <w:pPr>
        <w:numPr>
          <w:ilvl w:val="12"/>
          <w:numId w:val="0"/>
        </w:numPr>
        <w:spacing w:before="60" w:after="60"/>
        <w:rPr>
          <w:b/>
          <w:sz w:val="24"/>
        </w:rPr>
      </w:pPr>
    </w:p>
    <w:p w:rsidR="00D02B82" w:rsidRDefault="00D02B82">
      <w:pPr>
        <w:numPr>
          <w:ilvl w:val="12"/>
          <w:numId w:val="0"/>
        </w:numPr>
        <w:spacing w:before="60" w:after="60"/>
        <w:rPr>
          <w:b/>
          <w:sz w:val="24"/>
        </w:rPr>
      </w:pPr>
    </w:p>
    <w:p w:rsidR="00D02B82" w:rsidRDefault="00D02B82">
      <w:pPr>
        <w:numPr>
          <w:ilvl w:val="12"/>
          <w:numId w:val="0"/>
        </w:numPr>
        <w:spacing w:before="60" w:after="60"/>
        <w:rPr>
          <w:b/>
          <w:sz w:val="24"/>
        </w:rPr>
      </w:pPr>
    </w:p>
    <w:p w:rsidR="00D02B82" w:rsidRDefault="00D02B82">
      <w:pPr>
        <w:numPr>
          <w:ilvl w:val="12"/>
          <w:numId w:val="0"/>
        </w:numPr>
        <w:spacing w:before="60" w:after="60"/>
        <w:rPr>
          <w:b/>
          <w:sz w:val="24"/>
        </w:rPr>
      </w:pPr>
    </w:p>
    <w:p w:rsidR="00D02B82" w:rsidRDefault="00D02B82">
      <w:pPr>
        <w:numPr>
          <w:ilvl w:val="12"/>
          <w:numId w:val="0"/>
        </w:numPr>
        <w:spacing w:before="60" w:after="60"/>
        <w:rPr>
          <w:b/>
          <w:sz w:val="24"/>
        </w:rPr>
      </w:pPr>
    </w:p>
    <w:p w:rsidR="00D02B82" w:rsidRDefault="00D02B82">
      <w:pPr>
        <w:numPr>
          <w:ilvl w:val="12"/>
          <w:numId w:val="0"/>
        </w:numPr>
        <w:spacing w:before="60" w:after="60"/>
        <w:rPr>
          <w:b/>
          <w:sz w:val="24"/>
        </w:rPr>
      </w:pPr>
    </w:p>
    <w:p w:rsidR="00F2328A" w:rsidRDefault="00F2328A">
      <w:pPr>
        <w:numPr>
          <w:ilvl w:val="12"/>
          <w:numId w:val="0"/>
        </w:numPr>
        <w:spacing w:before="60" w:after="60"/>
        <w:rPr>
          <w:sz w:val="24"/>
        </w:rPr>
      </w:pPr>
      <w:r>
        <w:rPr>
          <w:b/>
          <w:sz w:val="24"/>
        </w:rPr>
        <w:lastRenderedPageBreak/>
        <w:t>Section VI - Health Hazard Data</w:t>
      </w:r>
      <w:r>
        <w:rPr>
          <w:sz w:val="24"/>
        </w:rPr>
        <w:t xml:space="preserve"> </w:t>
      </w:r>
    </w:p>
    <w:tbl>
      <w:tblPr>
        <w:tblW w:w="0" w:type="auto"/>
        <w:tblInd w:w="100" w:type="dxa"/>
        <w:tblLayout w:type="fixed"/>
        <w:tblCellMar>
          <w:left w:w="100" w:type="dxa"/>
          <w:right w:w="100" w:type="dxa"/>
        </w:tblCellMar>
        <w:tblLook w:val="0000"/>
      </w:tblPr>
      <w:tblGrid>
        <w:gridCol w:w="2525"/>
        <w:gridCol w:w="2520"/>
        <w:gridCol w:w="2520"/>
        <w:gridCol w:w="2520"/>
      </w:tblGrid>
      <w:tr w:rsidR="00F2328A">
        <w:tblPrEx>
          <w:tblCellMar>
            <w:top w:w="0" w:type="dxa"/>
            <w:bottom w:w="0" w:type="dxa"/>
          </w:tblCellMar>
        </w:tblPrEx>
        <w:tc>
          <w:tcPr>
            <w:tcW w:w="2525" w:type="dxa"/>
            <w:tcBorders>
              <w:top w:val="single" w:sz="6" w:space="0" w:color="auto"/>
              <w:left w:val="single" w:sz="6" w:space="0" w:color="auto"/>
              <w:bottom w:val="single" w:sz="6" w:space="0" w:color="auto"/>
              <w:right w:val="single" w:sz="6" w:space="0" w:color="auto"/>
            </w:tcBorders>
          </w:tcPr>
          <w:p w:rsidR="00F2328A" w:rsidRDefault="00F2328A">
            <w:pPr>
              <w:pStyle w:val="RestartList"/>
              <w:numPr>
                <w:ilvl w:val="12"/>
                <w:numId w:val="0"/>
              </w:numPr>
              <w:spacing w:line="240" w:lineRule="auto"/>
              <w:rPr>
                <w:rFonts w:ascii="Times New Roman" w:hAnsi="Times New Roman"/>
                <w:noProof w:val="0"/>
              </w:rPr>
            </w:pPr>
            <w:r>
              <w:rPr>
                <w:rFonts w:ascii="Times New Roman" w:hAnsi="Times New Roman"/>
                <w:noProof w:val="0"/>
              </w:rPr>
              <w:t>Route(s) of Entry:</w:t>
            </w:r>
          </w:p>
        </w:tc>
        <w:tc>
          <w:tcPr>
            <w:tcW w:w="2520" w:type="dxa"/>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pPr>
            <w:r>
              <w:t>Inhalation?</w:t>
            </w:r>
            <w:r w:rsidR="00601693">
              <w:t xml:space="preserve">                 </w:t>
            </w:r>
            <w:r w:rsidR="00601693" w:rsidRPr="00601693">
              <w:rPr>
                <w:b/>
                <w:u w:val="single"/>
              </w:rPr>
              <w:t>Yes</w:t>
            </w:r>
          </w:p>
        </w:tc>
        <w:tc>
          <w:tcPr>
            <w:tcW w:w="2520" w:type="dxa"/>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pPr>
            <w:r>
              <w:t>Skin?</w:t>
            </w:r>
            <w:r w:rsidR="00601693">
              <w:t xml:space="preserve">                      </w:t>
            </w:r>
            <w:r w:rsidR="00601693" w:rsidRPr="00601693">
              <w:rPr>
                <w:b/>
                <w:u w:val="single"/>
              </w:rPr>
              <w:t>Yes</w:t>
            </w:r>
          </w:p>
        </w:tc>
        <w:tc>
          <w:tcPr>
            <w:tcW w:w="2520" w:type="dxa"/>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pPr>
            <w:r>
              <w:t xml:space="preserve">Ingestion? </w:t>
            </w:r>
            <w:r w:rsidR="00601693">
              <w:t xml:space="preserve">                  </w:t>
            </w:r>
            <w:r w:rsidR="00601693" w:rsidRPr="00601693">
              <w:rPr>
                <w:b/>
                <w:u w:val="single"/>
              </w:rPr>
              <w:t>No</w:t>
            </w:r>
            <w:r>
              <w:br/>
              <w:t> </w:t>
            </w:r>
          </w:p>
        </w:tc>
      </w:tr>
      <w:tr w:rsidR="00F2328A">
        <w:tblPrEx>
          <w:tblCellMar>
            <w:top w:w="0" w:type="dxa"/>
            <w:bottom w:w="0" w:type="dxa"/>
          </w:tblCellMar>
        </w:tblPrEx>
        <w:tc>
          <w:tcPr>
            <w:tcW w:w="10085" w:type="dxa"/>
            <w:gridSpan w:val="4"/>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pPr>
            <w:r>
              <w:t xml:space="preserve">Health Hazards </w:t>
            </w:r>
            <w:r>
              <w:rPr>
                <w:i/>
              </w:rPr>
              <w:t>(Acute and Chronic)</w:t>
            </w:r>
            <w:r>
              <w:rPr>
                <w:i/>
              </w:rPr>
              <w:br/>
            </w:r>
            <w:r>
              <w:t> </w:t>
            </w:r>
            <w:r w:rsidR="00601693" w:rsidRPr="00601693">
              <w:rPr>
                <w:b/>
              </w:rPr>
              <w:t>Acute – Excessive exposure to tile dust can cause eye, skin and lung irritation from mechanical abrasion. Ingestion is not applicable for intact tile.</w:t>
            </w:r>
          </w:p>
        </w:tc>
      </w:tr>
      <w:tr w:rsidR="00F2328A">
        <w:tblPrEx>
          <w:tblCellMar>
            <w:top w:w="0" w:type="dxa"/>
            <w:bottom w:w="0" w:type="dxa"/>
          </w:tblCellMar>
        </w:tblPrEx>
        <w:tc>
          <w:tcPr>
            <w:tcW w:w="10085" w:type="dxa"/>
            <w:gridSpan w:val="4"/>
            <w:tcBorders>
              <w:top w:val="single" w:sz="6" w:space="0" w:color="auto"/>
              <w:left w:val="single" w:sz="6" w:space="0" w:color="auto"/>
              <w:bottom w:val="single" w:sz="6" w:space="0" w:color="auto"/>
              <w:right w:val="single" w:sz="6" w:space="0" w:color="auto"/>
            </w:tcBorders>
          </w:tcPr>
          <w:p w:rsidR="00F2328A" w:rsidRPr="00601693" w:rsidRDefault="00F2328A">
            <w:pPr>
              <w:numPr>
                <w:ilvl w:val="12"/>
                <w:numId w:val="0"/>
              </w:numPr>
              <w:rPr>
                <w:b/>
              </w:rPr>
            </w:pPr>
            <w:r w:rsidRPr="00601693">
              <w:rPr>
                <w:b/>
              </w:rPr>
              <w:t> </w:t>
            </w:r>
            <w:r w:rsidR="00601693" w:rsidRPr="00601693">
              <w:rPr>
                <w:b/>
              </w:rPr>
              <w:t xml:space="preserve">Chronic – Not Applicable for intact tiles. Excessive exposure to tile dust can cause discomfort and mechanical irritation. Long term exposure to silica dusts can lead to silicosis. </w:t>
            </w:r>
            <w:r w:rsidRPr="00601693">
              <w:rPr>
                <w:b/>
              </w:rPr>
              <w:br/>
              <w:t> </w:t>
            </w:r>
          </w:p>
        </w:tc>
      </w:tr>
      <w:tr w:rsidR="00F2328A">
        <w:tblPrEx>
          <w:tblCellMar>
            <w:top w:w="0" w:type="dxa"/>
            <w:bottom w:w="0" w:type="dxa"/>
          </w:tblCellMar>
        </w:tblPrEx>
        <w:tc>
          <w:tcPr>
            <w:tcW w:w="10085" w:type="dxa"/>
            <w:gridSpan w:val="4"/>
            <w:tcBorders>
              <w:top w:val="single" w:sz="6" w:space="0" w:color="auto"/>
              <w:left w:val="single" w:sz="6" w:space="0" w:color="auto"/>
              <w:bottom w:val="single" w:sz="6" w:space="0" w:color="auto"/>
              <w:right w:val="single" w:sz="6" w:space="0" w:color="auto"/>
            </w:tcBorders>
          </w:tcPr>
          <w:p w:rsidR="00F2328A" w:rsidRPr="00601693" w:rsidRDefault="00F2328A">
            <w:pPr>
              <w:numPr>
                <w:ilvl w:val="12"/>
                <w:numId w:val="0"/>
              </w:numPr>
              <w:rPr>
                <w:b/>
              </w:rPr>
            </w:pPr>
            <w:r w:rsidRPr="00601693">
              <w:rPr>
                <w:b/>
              </w:rPr>
              <w:t> </w:t>
            </w:r>
            <w:r w:rsidR="00601693" w:rsidRPr="00601693">
              <w:rPr>
                <w:b/>
              </w:rPr>
              <w:t xml:space="preserve">Carcinogenicity – Respirable crystalline silica (quartz) is classified by International Agency for Research on Cancer (IARC) as a human carcinogen. Intact tile is not believed to be hazardous and limited potential of exposure exists for crystalline silica (quartz) during installation, disposal and/or if damaged. Crystalline silica is described in ACGIH and NIOSH as being identified in other sources as a suspected human carcinogen; however, fused silica is reported only by ACGIH as a suspected human carcinogen. </w:t>
            </w:r>
            <w:r w:rsidRPr="00601693">
              <w:rPr>
                <w:b/>
              </w:rPr>
              <w:br/>
              <w:t> </w:t>
            </w:r>
          </w:p>
        </w:tc>
      </w:tr>
      <w:tr w:rsidR="00F2328A">
        <w:tblPrEx>
          <w:tblCellMar>
            <w:top w:w="0" w:type="dxa"/>
            <w:bottom w:w="0" w:type="dxa"/>
          </w:tblCellMar>
        </w:tblPrEx>
        <w:tc>
          <w:tcPr>
            <w:tcW w:w="2525" w:type="dxa"/>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pPr>
            <w:r>
              <w:t>Carcinogenicity:</w:t>
            </w:r>
          </w:p>
        </w:tc>
        <w:tc>
          <w:tcPr>
            <w:tcW w:w="2520" w:type="dxa"/>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pPr>
            <w:r>
              <w:t>NTP?</w:t>
            </w:r>
            <w:r w:rsidR="00601693">
              <w:t xml:space="preserve">                       </w:t>
            </w:r>
            <w:r w:rsidR="00601693" w:rsidRPr="00601693">
              <w:rPr>
                <w:b/>
                <w:u w:val="single"/>
              </w:rPr>
              <w:t>Yes</w:t>
            </w:r>
          </w:p>
        </w:tc>
        <w:tc>
          <w:tcPr>
            <w:tcW w:w="2520" w:type="dxa"/>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pPr>
            <w:r>
              <w:t>IARC Monographs?</w:t>
            </w:r>
            <w:r w:rsidR="00601693">
              <w:t xml:space="preserve">     </w:t>
            </w:r>
            <w:r w:rsidR="00601693" w:rsidRPr="00601693">
              <w:rPr>
                <w:b/>
                <w:u w:val="single"/>
              </w:rPr>
              <w:t>Yes</w:t>
            </w:r>
          </w:p>
        </w:tc>
        <w:tc>
          <w:tcPr>
            <w:tcW w:w="2520" w:type="dxa"/>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pPr>
            <w:r>
              <w:t xml:space="preserve">OSHA Regulated? </w:t>
            </w:r>
            <w:r w:rsidR="00601693">
              <w:t xml:space="preserve">      </w:t>
            </w:r>
            <w:r w:rsidR="00601693" w:rsidRPr="00601693">
              <w:rPr>
                <w:b/>
                <w:u w:val="single"/>
              </w:rPr>
              <w:t>Yes</w:t>
            </w:r>
            <w:r>
              <w:br/>
              <w:t> </w:t>
            </w:r>
          </w:p>
        </w:tc>
      </w:tr>
      <w:tr w:rsidR="00F2328A">
        <w:tblPrEx>
          <w:tblCellMar>
            <w:top w:w="0" w:type="dxa"/>
            <w:bottom w:w="0" w:type="dxa"/>
          </w:tblCellMar>
        </w:tblPrEx>
        <w:tc>
          <w:tcPr>
            <w:tcW w:w="10085" w:type="dxa"/>
            <w:gridSpan w:val="4"/>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pPr>
            <w:r>
              <w:t> </w:t>
            </w:r>
            <w:r w:rsidR="00D02B82">
              <w:t>Signs and Symptoms of Exposure</w:t>
            </w:r>
            <w:r>
              <w:br/>
              <w:t> </w:t>
            </w:r>
          </w:p>
          <w:p w:rsidR="00D02B82" w:rsidRPr="00D02B82" w:rsidRDefault="00D02B82">
            <w:pPr>
              <w:numPr>
                <w:ilvl w:val="12"/>
                <w:numId w:val="0"/>
              </w:numPr>
              <w:rPr>
                <w:b/>
              </w:rPr>
            </w:pPr>
            <w:r w:rsidRPr="00EF4C17">
              <w:rPr>
                <w:b/>
              </w:rPr>
              <w:t xml:space="preserve">    </w:t>
            </w:r>
            <w:r w:rsidR="00EF4C17" w:rsidRPr="00EF4C17">
              <w:rPr>
                <w:b/>
              </w:rPr>
              <w:t>It</w:t>
            </w:r>
            <w:r w:rsidR="00EF4C17">
              <w:rPr>
                <w:b/>
              </w:rPr>
              <w:t xml:space="preserve"> the glass </w:t>
            </w:r>
            <w:r w:rsidR="00EF4C17" w:rsidRPr="00EF4C17">
              <w:rPr>
                <w:b/>
              </w:rPr>
              <w:t xml:space="preserve">tile </w:t>
            </w:r>
            <w:r w:rsidR="00EF4C17">
              <w:rPr>
                <w:b/>
              </w:rPr>
              <w:t xml:space="preserve">is cut </w:t>
            </w:r>
            <w:r w:rsidR="00EF4C17" w:rsidRPr="00EF4C17">
              <w:rPr>
                <w:b/>
              </w:rPr>
              <w:t>by saw without water,</w:t>
            </w:r>
            <w:r w:rsidR="00EF4C17">
              <w:t xml:space="preserve"> </w:t>
            </w:r>
            <w:r w:rsidR="00EF4C17">
              <w:rPr>
                <w:b/>
              </w:rPr>
              <w:t>excessive exposure to glass</w:t>
            </w:r>
            <w:r w:rsidRPr="00D02B82">
              <w:rPr>
                <w:b/>
              </w:rPr>
              <w:t xml:space="preserve"> dust can cause eye, skin and lung irritation from mechanical abrasion. Long term exposure to silica dusts can lead to silicosis. </w:t>
            </w:r>
          </w:p>
        </w:tc>
      </w:tr>
      <w:tr w:rsidR="00F2328A">
        <w:tblPrEx>
          <w:tblCellMar>
            <w:top w:w="0" w:type="dxa"/>
            <w:bottom w:w="0" w:type="dxa"/>
          </w:tblCellMar>
        </w:tblPrEx>
        <w:tc>
          <w:tcPr>
            <w:tcW w:w="10085" w:type="dxa"/>
            <w:gridSpan w:val="4"/>
            <w:tcBorders>
              <w:top w:val="single" w:sz="6" w:space="0" w:color="auto"/>
              <w:left w:val="single" w:sz="6" w:space="0" w:color="auto"/>
              <w:bottom w:val="single" w:sz="6" w:space="0" w:color="auto"/>
              <w:right w:val="single" w:sz="6" w:space="0" w:color="auto"/>
            </w:tcBorders>
          </w:tcPr>
          <w:p w:rsidR="00F2328A" w:rsidRDefault="00D02B82">
            <w:pPr>
              <w:numPr>
                <w:ilvl w:val="12"/>
                <w:numId w:val="0"/>
              </w:numPr>
            </w:pPr>
            <w:r>
              <w:t xml:space="preserve">Medical Conditions </w:t>
            </w:r>
            <w:r w:rsidR="00F2328A">
              <w:t>Generally Aggravated by Exposure</w:t>
            </w:r>
          </w:p>
          <w:p w:rsidR="00D02B82" w:rsidRPr="00D02B82" w:rsidRDefault="00D02B82">
            <w:pPr>
              <w:numPr>
                <w:ilvl w:val="12"/>
                <w:numId w:val="0"/>
              </w:numPr>
              <w:rPr>
                <w:b/>
              </w:rPr>
            </w:pPr>
          </w:p>
          <w:p w:rsidR="00D02B82" w:rsidRDefault="00D02B82">
            <w:pPr>
              <w:numPr>
                <w:ilvl w:val="12"/>
                <w:numId w:val="0"/>
              </w:numPr>
            </w:pPr>
            <w:r w:rsidRPr="00D02B82">
              <w:rPr>
                <w:b/>
              </w:rPr>
              <w:t xml:space="preserve">       Existing lung disease may be a</w:t>
            </w:r>
            <w:r w:rsidR="00EF4C17">
              <w:rPr>
                <w:b/>
              </w:rPr>
              <w:t>ggravated after exposure to glass</w:t>
            </w:r>
            <w:r w:rsidRPr="00D02B82">
              <w:rPr>
                <w:b/>
              </w:rPr>
              <w:t xml:space="preserve"> dusts.</w:t>
            </w:r>
          </w:p>
        </w:tc>
      </w:tr>
      <w:tr w:rsidR="00F2328A">
        <w:tblPrEx>
          <w:tblCellMar>
            <w:top w:w="0" w:type="dxa"/>
            <w:bottom w:w="0" w:type="dxa"/>
          </w:tblCellMar>
        </w:tblPrEx>
        <w:tc>
          <w:tcPr>
            <w:tcW w:w="10085" w:type="dxa"/>
            <w:gridSpan w:val="4"/>
            <w:tcBorders>
              <w:top w:val="single" w:sz="6" w:space="0" w:color="auto"/>
              <w:left w:val="single" w:sz="6" w:space="0" w:color="auto"/>
              <w:bottom w:val="single" w:sz="6" w:space="0" w:color="auto"/>
              <w:right w:val="single" w:sz="6" w:space="0" w:color="auto"/>
            </w:tcBorders>
          </w:tcPr>
          <w:p w:rsidR="00D02B82" w:rsidRDefault="00F2328A">
            <w:pPr>
              <w:numPr>
                <w:ilvl w:val="12"/>
                <w:numId w:val="0"/>
              </w:numPr>
            </w:pPr>
            <w:r>
              <w:t>Emergency and First Aid Procedures</w:t>
            </w:r>
          </w:p>
          <w:p w:rsidR="00F2328A" w:rsidRPr="00D02B82" w:rsidRDefault="00F2328A">
            <w:pPr>
              <w:numPr>
                <w:ilvl w:val="12"/>
                <w:numId w:val="0"/>
              </w:numPr>
              <w:rPr>
                <w:b/>
              </w:rPr>
            </w:pPr>
            <w:r>
              <w:br/>
              <w:t> </w:t>
            </w:r>
            <w:r w:rsidR="00D02B82">
              <w:t xml:space="preserve">     </w:t>
            </w:r>
            <w:r w:rsidR="00D02B82" w:rsidRPr="00D02B82">
              <w:rPr>
                <w:b/>
              </w:rPr>
              <w:t>Skin: Wash dust off any affected area with soap and water.</w:t>
            </w:r>
          </w:p>
          <w:p w:rsidR="00D02B82" w:rsidRPr="00D02B82" w:rsidRDefault="00D02B82">
            <w:pPr>
              <w:numPr>
                <w:ilvl w:val="12"/>
                <w:numId w:val="0"/>
              </w:numPr>
              <w:rPr>
                <w:b/>
              </w:rPr>
            </w:pPr>
            <w:r w:rsidRPr="00D02B82">
              <w:rPr>
                <w:b/>
              </w:rPr>
              <w:t xml:space="preserve">      Inhalation: Remove the victim to fresh air if exposed to large amounts of tile cutting dust. Administer artificial respiration if breathing has stopped. Keep victim at rest. Call for prompt medical attention.</w:t>
            </w:r>
          </w:p>
          <w:p w:rsidR="00D02B82" w:rsidRPr="00D02B82" w:rsidRDefault="00D02B82">
            <w:pPr>
              <w:numPr>
                <w:ilvl w:val="12"/>
                <w:numId w:val="0"/>
              </w:numPr>
              <w:rPr>
                <w:b/>
              </w:rPr>
            </w:pPr>
            <w:r w:rsidRPr="00D02B82">
              <w:rPr>
                <w:b/>
              </w:rPr>
              <w:t xml:space="preserve">      Ingestion: Not Applicable for intact tiles.</w:t>
            </w:r>
          </w:p>
          <w:p w:rsidR="00D02B82" w:rsidRDefault="00D02B82">
            <w:pPr>
              <w:numPr>
                <w:ilvl w:val="12"/>
                <w:numId w:val="0"/>
              </w:numPr>
            </w:pPr>
            <w:r w:rsidRPr="00D02B82">
              <w:rPr>
                <w:b/>
              </w:rPr>
              <w:t xml:space="preserve">      * Have Emergency eyewash stat</w:t>
            </w:r>
            <w:r w:rsidR="00EF4C17">
              <w:rPr>
                <w:b/>
              </w:rPr>
              <w:t>ion available in area where glass tiles</w:t>
            </w:r>
            <w:r w:rsidRPr="00D02B82">
              <w:rPr>
                <w:b/>
              </w:rPr>
              <w:t xml:space="preserve"> are cut.</w:t>
            </w:r>
          </w:p>
        </w:tc>
      </w:tr>
    </w:tbl>
    <w:p w:rsidR="00D02B82" w:rsidRDefault="00D02B82">
      <w:pPr>
        <w:numPr>
          <w:ilvl w:val="12"/>
          <w:numId w:val="0"/>
        </w:numPr>
        <w:spacing w:before="60" w:after="60"/>
        <w:rPr>
          <w:b/>
          <w:sz w:val="24"/>
        </w:rPr>
      </w:pPr>
    </w:p>
    <w:p w:rsidR="00D02B82" w:rsidRDefault="00D02B82">
      <w:pPr>
        <w:numPr>
          <w:ilvl w:val="12"/>
          <w:numId w:val="0"/>
        </w:numPr>
        <w:spacing w:before="60" w:after="60"/>
        <w:rPr>
          <w:b/>
          <w:sz w:val="24"/>
        </w:rPr>
      </w:pPr>
    </w:p>
    <w:p w:rsidR="00F2328A" w:rsidRDefault="00F2328A">
      <w:pPr>
        <w:numPr>
          <w:ilvl w:val="12"/>
          <w:numId w:val="0"/>
        </w:numPr>
        <w:spacing w:before="60" w:after="60"/>
        <w:rPr>
          <w:sz w:val="24"/>
        </w:rPr>
      </w:pPr>
      <w:r>
        <w:rPr>
          <w:b/>
          <w:sz w:val="24"/>
        </w:rPr>
        <w:t>Section VII - Precautions for Safe Handling and Use</w:t>
      </w:r>
      <w:r>
        <w:rPr>
          <w:sz w:val="24"/>
        </w:rPr>
        <w:t xml:space="preserve"> </w:t>
      </w:r>
    </w:p>
    <w:tbl>
      <w:tblPr>
        <w:tblW w:w="0" w:type="auto"/>
        <w:tblInd w:w="100" w:type="dxa"/>
        <w:tblLayout w:type="fixed"/>
        <w:tblCellMar>
          <w:left w:w="100" w:type="dxa"/>
          <w:right w:w="100" w:type="dxa"/>
        </w:tblCellMar>
        <w:tblLook w:val="0000"/>
      </w:tblPr>
      <w:tblGrid>
        <w:gridCol w:w="10085"/>
      </w:tblGrid>
      <w:tr w:rsidR="00F2328A">
        <w:tblPrEx>
          <w:tblCellMar>
            <w:top w:w="0" w:type="dxa"/>
            <w:bottom w:w="0" w:type="dxa"/>
          </w:tblCellMar>
        </w:tblPrEx>
        <w:tc>
          <w:tcPr>
            <w:tcW w:w="10085" w:type="dxa"/>
            <w:tcBorders>
              <w:top w:val="single" w:sz="6" w:space="0" w:color="auto"/>
              <w:left w:val="single" w:sz="6" w:space="0" w:color="auto"/>
              <w:bottom w:val="single" w:sz="6" w:space="0" w:color="auto"/>
              <w:right w:val="single" w:sz="6" w:space="0" w:color="auto"/>
            </w:tcBorders>
          </w:tcPr>
          <w:p w:rsidR="00F2328A" w:rsidRDefault="00F2328A">
            <w:pPr>
              <w:pStyle w:val="RestartList"/>
              <w:numPr>
                <w:ilvl w:val="12"/>
                <w:numId w:val="0"/>
              </w:numPr>
              <w:spacing w:line="240" w:lineRule="auto"/>
              <w:rPr>
                <w:rFonts w:ascii="Times New Roman" w:hAnsi="Times New Roman"/>
                <w:noProof w:val="0"/>
              </w:rPr>
            </w:pPr>
            <w:r>
              <w:rPr>
                <w:rFonts w:ascii="Times New Roman" w:hAnsi="Times New Roman"/>
                <w:noProof w:val="0"/>
              </w:rPr>
              <w:t>Steps to Be Taken in Case Material is Released or Spilled</w:t>
            </w:r>
            <w:r>
              <w:rPr>
                <w:rFonts w:ascii="Times New Roman" w:hAnsi="Times New Roman"/>
                <w:noProof w:val="0"/>
              </w:rPr>
              <w:br/>
              <w:t> </w:t>
            </w:r>
          </w:p>
          <w:p w:rsidR="00D02B82" w:rsidRPr="00D02B82" w:rsidRDefault="00D02B82" w:rsidP="00D02B82">
            <w:r w:rsidRPr="00D02B82">
              <w:rPr>
                <w:b/>
              </w:rPr>
              <w:t>Employ closed system and/or local exhaust ventilation. Use wet methods if needed to reduce generation of dust. Use respiratory in the absence of engineering controls.</w:t>
            </w:r>
          </w:p>
        </w:tc>
      </w:tr>
      <w:tr w:rsidR="00F2328A">
        <w:tblPrEx>
          <w:tblCellMar>
            <w:top w:w="0" w:type="dxa"/>
            <w:bottom w:w="0" w:type="dxa"/>
          </w:tblCellMar>
        </w:tblPrEx>
        <w:tc>
          <w:tcPr>
            <w:tcW w:w="10085" w:type="dxa"/>
            <w:tcBorders>
              <w:top w:val="single" w:sz="6" w:space="0" w:color="auto"/>
              <w:left w:val="single" w:sz="6" w:space="0" w:color="auto"/>
              <w:bottom w:val="single" w:sz="6" w:space="0" w:color="auto"/>
              <w:right w:val="single" w:sz="6" w:space="0" w:color="auto"/>
            </w:tcBorders>
          </w:tcPr>
          <w:p w:rsidR="00D02B82" w:rsidRDefault="00F2328A">
            <w:pPr>
              <w:numPr>
                <w:ilvl w:val="12"/>
                <w:numId w:val="0"/>
              </w:numPr>
            </w:pPr>
            <w:r>
              <w:t>Waste Disposal Method</w:t>
            </w:r>
          </w:p>
          <w:p w:rsidR="00F2328A" w:rsidRPr="00D02B82" w:rsidRDefault="00D02B82">
            <w:pPr>
              <w:numPr>
                <w:ilvl w:val="12"/>
                <w:numId w:val="0"/>
              </w:numPr>
              <w:rPr>
                <w:b/>
              </w:rPr>
            </w:pPr>
            <w:r>
              <w:t xml:space="preserve"> </w:t>
            </w:r>
            <w:r w:rsidR="00F2328A">
              <w:br/>
              <w:t> </w:t>
            </w:r>
            <w:r>
              <w:t xml:space="preserve"> </w:t>
            </w:r>
            <w:r w:rsidRPr="00D02B82">
              <w:rPr>
                <w:b/>
              </w:rPr>
              <w:t>Waste should be disposed of in a landfill certified to accept such materials in accordance with federal, state and local regulations.</w:t>
            </w:r>
          </w:p>
        </w:tc>
      </w:tr>
      <w:tr w:rsidR="00F2328A">
        <w:tblPrEx>
          <w:tblCellMar>
            <w:top w:w="0" w:type="dxa"/>
            <w:bottom w:w="0" w:type="dxa"/>
          </w:tblCellMar>
        </w:tblPrEx>
        <w:tc>
          <w:tcPr>
            <w:tcW w:w="10085" w:type="dxa"/>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pPr>
            <w:r>
              <w:t>Precautions to Be taken in Handling and Storing</w:t>
            </w:r>
            <w:r>
              <w:br/>
              <w:t> </w:t>
            </w:r>
          </w:p>
          <w:p w:rsidR="00D02B82" w:rsidRPr="00D02B82" w:rsidRDefault="00D02B82">
            <w:pPr>
              <w:numPr>
                <w:ilvl w:val="12"/>
                <w:numId w:val="0"/>
              </w:numPr>
              <w:rPr>
                <w:b/>
              </w:rPr>
            </w:pPr>
            <w:r>
              <w:t xml:space="preserve">  </w:t>
            </w:r>
            <w:r w:rsidRPr="00D02B82">
              <w:rPr>
                <w:b/>
              </w:rPr>
              <w:t>Shelf life is unlimited. Do not store near acids. If tiles contact some acids, there is limited potential for leaching heavy metals.</w:t>
            </w:r>
          </w:p>
        </w:tc>
      </w:tr>
      <w:tr w:rsidR="00F2328A">
        <w:tblPrEx>
          <w:tblCellMar>
            <w:top w:w="0" w:type="dxa"/>
            <w:bottom w:w="0" w:type="dxa"/>
          </w:tblCellMar>
        </w:tblPrEx>
        <w:tc>
          <w:tcPr>
            <w:tcW w:w="10085" w:type="dxa"/>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pPr>
            <w:r>
              <w:t>Other Precautions</w:t>
            </w:r>
            <w:r>
              <w:br/>
              <w:t> </w:t>
            </w:r>
          </w:p>
          <w:p w:rsidR="00D02B82" w:rsidRPr="00D02B82" w:rsidRDefault="00D02B82">
            <w:pPr>
              <w:numPr>
                <w:ilvl w:val="12"/>
                <w:numId w:val="0"/>
              </w:numPr>
              <w:rPr>
                <w:b/>
              </w:rPr>
            </w:pPr>
            <w:r>
              <w:t xml:space="preserve">    </w:t>
            </w:r>
            <w:r w:rsidRPr="00D02B82">
              <w:rPr>
                <w:b/>
              </w:rPr>
              <w:t xml:space="preserve">Broken </w:t>
            </w:r>
            <w:r w:rsidR="00EF4C17">
              <w:rPr>
                <w:b/>
              </w:rPr>
              <w:t>glass tile</w:t>
            </w:r>
            <w:r w:rsidRPr="00D02B82">
              <w:rPr>
                <w:b/>
              </w:rPr>
              <w:t xml:space="preserve"> could be sharp; therefore, appropriate gloves should be worn if working with broken product.</w:t>
            </w:r>
          </w:p>
        </w:tc>
      </w:tr>
    </w:tbl>
    <w:p w:rsidR="00D02B82" w:rsidRDefault="00D02B82">
      <w:pPr>
        <w:numPr>
          <w:ilvl w:val="12"/>
          <w:numId w:val="0"/>
        </w:numPr>
        <w:spacing w:before="60" w:after="60"/>
        <w:rPr>
          <w:b/>
          <w:sz w:val="24"/>
        </w:rPr>
      </w:pPr>
    </w:p>
    <w:p w:rsidR="00D02B82" w:rsidRDefault="00D02B82">
      <w:pPr>
        <w:numPr>
          <w:ilvl w:val="12"/>
          <w:numId w:val="0"/>
        </w:numPr>
        <w:spacing w:before="60" w:after="60"/>
        <w:rPr>
          <w:b/>
          <w:sz w:val="24"/>
        </w:rPr>
      </w:pPr>
    </w:p>
    <w:p w:rsidR="00F2328A" w:rsidRDefault="00F2328A">
      <w:pPr>
        <w:numPr>
          <w:ilvl w:val="12"/>
          <w:numId w:val="0"/>
        </w:numPr>
        <w:spacing w:before="60" w:after="60"/>
        <w:rPr>
          <w:sz w:val="24"/>
        </w:rPr>
      </w:pPr>
      <w:r>
        <w:rPr>
          <w:b/>
          <w:sz w:val="24"/>
        </w:rPr>
        <w:lastRenderedPageBreak/>
        <w:t>Section VIII - Control Measures</w:t>
      </w:r>
      <w:r>
        <w:rPr>
          <w:sz w:val="24"/>
        </w:rPr>
        <w:t xml:space="preserve"> </w:t>
      </w:r>
    </w:p>
    <w:tbl>
      <w:tblPr>
        <w:tblW w:w="0" w:type="auto"/>
        <w:tblInd w:w="100" w:type="dxa"/>
        <w:tblLayout w:type="fixed"/>
        <w:tblCellMar>
          <w:left w:w="100" w:type="dxa"/>
          <w:right w:w="100" w:type="dxa"/>
        </w:tblCellMar>
        <w:tblLook w:val="0000"/>
      </w:tblPr>
      <w:tblGrid>
        <w:gridCol w:w="10079"/>
        <w:gridCol w:w="6"/>
      </w:tblGrid>
      <w:tr w:rsidR="00F2328A">
        <w:tblPrEx>
          <w:tblCellMar>
            <w:top w:w="0" w:type="dxa"/>
            <w:bottom w:w="0" w:type="dxa"/>
          </w:tblCellMar>
        </w:tblPrEx>
        <w:trPr>
          <w:gridAfter w:val="1"/>
          <w:wAfter w:w="6" w:type="dxa"/>
          <w:trHeight w:val="552"/>
        </w:trPr>
        <w:tc>
          <w:tcPr>
            <w:tcW w:w="10079" w:type="dxa"/>
            <w:tcBorders>
              <w:top w:val="single" w:sz="6" w:space="0" w:color="auto"/>
              <w:left w:val="single" w:sz="6" w:space="0" w:color="auto"/>
              <w:bottom w:val="single" w:sz="6" w:space="0" w:color="auto"/>
              <w:right w:val="single" w:sz="6" w:space="0" w:color="auto"/>
            </w:tcBorders>
          </w:tcPr>
          <w:p w:rsidR="00F2328A" w:rsidRDefault="00F2328A">
            <w:pPr>
              <w:numPr>
                <w:ilvl w:val="12"/>
                <w:numId w:val="0"/>
              </w:numPr>
            </w:pPr>
            <w:r>
              <w:t xml:space="preserve">Respiratory Protection </w:t>
            </w:r>
            <w:r>
              <w:rPr>
                <w:i/>
              </w:rPr>
              <w:t>(Specify Type)</w:t>
            </w:r>
            <w:r>
              <w:rPr>
                <w:i/>
              </w:rPr>
              <w:br/>
            </w:r>
            <w:r>
              <w:t> </w:t>
            </w:r>
            <w:r w:rsidR="006F7834" w:rsidRPr="006F7834">
              <w:rPr>
                <w:b/>
              </w:rPr>
              <w:t>Use of properly fitted NIOSH/MSHA approved particulate respirator is recommended when cutting tiles.</w:t>
            </w:r>
          </w:p>
        </w:tc>
      </w:tr>
      <w:tr w:rsidR="006F7834">
        <w:tblPrEx>
          <w:tblCellMar>
            <w:top w:w="0" w:type="dxa"/>
            <w:bottom w:w="0" w:type="dxa"/>
          </w:tblCellMar>
        </w:tblPrEx>
        <w:trPr>
          <w:gridAfter w:val="1"/>
          <w:wAfter w:w="6" w:type="dxa"/>
          <w:trHeight w:val="705"/>
        </w:trPr>
        <w:tc>
          <w:tcPr>
            <w:tcW w:w="10079" w:type="dxa"/>
            <w:tcBorders>
              <w:top w:val="single" w:sz="6" w:space="0" w:color="auto"/>
              <w:left w:val="single" w:sz="6" w:space="0" w:color="auto"/>
              <w:right w:val="single" w:sz="6" w:space="0" w:color="auto"/>
            </w:tcBorders>
          </w:tcPr>
          <w:p w:rsidR="006F7834" w:rsidRPr="006F7834" w:rsidRDefault="006F7834" w:rsidP="00177CFC">
            <w:pPr>
              <w:numPr>
                <w:ilvl w:val="12"/>
                <w:numId w:val="0"/>
              </w:numPr>
            </w:pPr>
            <w:r w:rsidRPr="006F7834">
              <w:t>Ventilation:</w:t>
            </w:r>
          </w:p>
          <w:p w:rsidR="006F7834" w:rsidRPr="006F7834" w:rsidRDefault="006F7834" w:rsidP="00177CFC">
            <w:pPr>
              <w:numPr>
                <w:ilvl w:val="12"/>
                <w:numId w:val="0"/>
              </w:numPr>
              <w:rPr>
                <w:sz w:val="24"/>
              </w:rPr>
            </w:pPr>
            <w:r w:rsidRPr="006F7834">
              <w:rPr>
                <w:b/>
              </w:rPr>
              <w:t xml:space="preserve">             Use adequate ventilation to keep exposure to dust below recommended exposure levels. Avoid inhaling dust. The highest probability of silica exposure occurs during dry cutting. Wet cutting methods are </w:t>
            </w:r>
            <w:r w:rsidR="00EF4C17">
              <w:rPr>
                <w:b/>
              </w:rPr>
              <w:t xml:space="preserve">strongly </w:t>
            </w:r>
            <w:r w:rsidRPr="006F7834">
              <w:rPr>
                <w:b/>
              </w:rPr>
              <w:t>recommended</w:t>
            </w:r>
            <w:r>
              <w:t>.</w:t>
            </w:r>
            <w:r>
              <w:br/>
              <w:t xml:space="preserve">             </w:t>
            </w:r>
          </w:p>
        </w:tc>
      </w:tr>
      <w:tr w:rsidR="006F7834">
        <w:tblPrEx>
          <w:tblCellMar>
            <w:top w:w="0" w:type="dxa"/>
            <w:bottom w:w="0" w:type="dxa"/>
          </w:tblCellMar>
        </w:tblPrEx>
        <w:trPr>
          <w:trHeight w:val="688"/>
        </w:trPr>
        <w:tc>
          <w:tcPr>
            <w:tcW w:w="10085" w:type="dxa"/>
            <w:gridSpan w:val="2"/>
            <w:tcBorders>
              <w:top w:val="single" w:sz="6" w:space="0" w:color="auto"/>
              <w:left w:val="single" w:sz="6" w:space="0" w:color="auto"/>
              <w:bottom w:val="single" w:sz="6" w:space="0" w:color="auto"/>
              <w:right w:val="single" w:sz="6" w:space="0" w:color="auto"/>
            </w:tcBorders>
          </w:tcPr>
          <w:p w:rsidR="006F7834" w:rsidRDefault="006F7834">
            <w:pPr>
              <w:numPr>
                <w:ilvl w:val="12"/>
                <w:numId w:val="0"/>
              </w:numPr>
            </w:pPr>
            <w:r>
              <w:t>Eye Protection:</w:t>
            </w:r>
            <w:r>
              <w:br/>
              <w:t xml:space="preserve">       </w:t>
            </w:r>
            <w:r w:rsidRPr="006F7834">
              <w:rPr>
                <w:b/>
              </w:rPr>
              <w:t>Use dust-proof goggles or safety glasses with side shields. Contact lenses may absorb irritants. Do Not wear contact lenses in work areas.</w:t>
            </w:r>
          </w:p>
        </w:tc>
      </w:tr>
      <w:tr w:rsidR="00F2328A">
        <w:tblPrEx>
          <w:tblCellMar>
            <w:top w:w="0" w:type="dxa"/>
            <w:bottom w:w="0" w:type="dxa"/>
          </w:tblCellMar>
        </w:tblPrEx>
        <w:trPr>
          <w:trHeight w:val="689"/>
        </w:trPr>
        <w:tc>
          <w:tcPr>
            <w:tcW w:w="10085" w:type="dxa"/>
            <w:gridSpan w:val="2"/>
            <w:tcBorders>
              <w:top w:val="single" w:sz="6" w:space="0" w:color="auto"/>
              <w:left w:val="single" w:sz="6" w:space="0" w:color="auto"/>
              <w:bottom w:val="single" w:sz="6" w:space="0" w:color="auto"/>
              <w:right w:val="single" w:sz="6" w:space="0" w:color="auto"/>
            </w:tcBorders>
          </w:tcPr>
          <w:p w:rsidR="006F7834" w:rsidRDefault="006F7834">
            <w:pPr>
              <w:numPr>
                <w:ilvl w:val="12"/>
                <w:numId w:val="0"/>
              </w:numPr>
            </w:pPr>
            <w:r>
              <w:t>Skin Protection:</w:t>
            </w:r>
          </w:p>
          <w:p w:rsidR="00F2328A" w:rsidRPr="006F7834" w:rsidRDefault="006F7834">
            <w:pPr>
              <w:numPr>
                <w:ilvl w:val="12"/>
                <w:numId w:val="0"/>
              </w:numPr>
              <w:rPr>
                <w:b/>
              </w:rPr>
            </w:pPr>
            <w:r>
              <w:t xml:space="preserve">        </w:t>
            </w:r>
            <w:r w:rsidRPr="006F7834">
              <w:rPr>
                <w:b/>
              </w:rPr>
              <w:t xml:space="preserve">Cotton or leather work gloves should be worn when cutting this product to minimize skin exposure. Wash hands prior to eating, drinking or smoking and at the end of the work shift, after cutting operations </w:t>
            </w:r>
            <w:proofErr w:type="gramStart"/>
            <w:r w:rsidRPr="006F7834">
              <w:rPr>
                <w:b/>
              </w:rPr>
              <w:t>are</w:t>
            </w:r>
            <w:proofErr w:type="gramEnd"/>
            <w:r w:rsidRPr="006F7834">
              <w:rPr>
                <w:b/>
              </w:rPr>
              <w:t xml:space="preserve"> conducted.</w:t>
            </w:r>
            <w:r w:rsidR="00F2328A" w:rsidRPr="006F7834">
              <w:rPr>
                <w:b/>
              </w:rPr>
              <w:br/>
              <w:t> </w:t>
            </w:r>
          </w:p>
        </w:tc>
      </w:tr>
      <w:tr w:rsidR="00F2328A">
        <w:tblPrEx>
          <w:tblCellMar>
            <w:top w:w="0" w:type="dxa"/>
            <w:bottom w:w="0" w:type="dxa"/>
          </w:tblCellMar>
        </w:tblPrEx>
        <w:trPr>
          <w:trHeight w:val="689"/>
        </w:trPr>
        <w:tc>
          <w:tcPr>
            <w:tcW w:w="10085" w:type="dxa"/>
            <w:gridSpan w:val="2"/>
            <w:tcBorders>
              <w:top w:val="single" w:sz="6" w:space="0" w:color="auto"/>
              <w:left w:val="single" w:sz="6" w:space="0" w:color="auto"/>
              <w:bottom w:val="single" w:sz="6" w:space="0" w:color="auto"/>
              <w:right w:val="single" w:sz="6" w:space="0" w:color="auto"/>
            </w:tcBorders>
          </w:tcPr>
          <w:p w:rsidR="006F7834" w:rsidRDefault="006F7834">
            <w:pPr>
              <w:numPr>
                <w:ilvl w:val="12"/>
                <w:numId w:val="0"/>
              </w:numPr>
            </w:pPr>
            <w:r>
              <w:t>Other Protective Clothing or Equipment:</w:t>
            </w:r>
          </w:p>
          <w:p w:rsidR="00F2328A" w:rsidRPr="006F7834" w:rsidRDefault="006F7834">
            <w:pPr>
              <w:numPr>
                <w:ilvl w:val="12"/>
                <w:numId w:val="0"/>
              </w:numPr>
              <w:rPr>
                <w:b/>
              </w:rPr>
            </w:pPr>
            <w:r>
              <w:t xml:space="preserve">      </w:t>
            </w:r>
            <w:r w:rsidRPr="006F7834">
              <w:rPr>
                <w:b/>
              </w:rPr>
              <w:t>Note: Personal protection information listed above is based upon general information as to normal uses and conditions. Where special or unusual uses or conditions exist, it is suggested that the expert assistance of an industrial hygienist or other qualified professional be sought.</w:t>
            </w:r>
            <w:r w:rsidR="00F2328A" w:rsidRPr="006F7834">
              <w:rPr>
                <w:b/>
              </w:rPr>
              <w:br/>
              <w:t> </w:t>
            </w:r>
          </w:p>
        </w:tc>
      </w:tr>
    </w:tbl>
    <w:p w:rsidR="00F2328A" w:rsidRDefault="00F2328A">
      <w:pPr>
        <w:numPr>
          <w:ilvl w:val="12"/>
          <w:numId w:val="0"/>
        </w:numPr>
        <w:spacing w:before="60" w:after="60"/>
        <w:rPr>
          <w:sz w:val="24"/>
        </w:rPr>
      </w:pPr>
    </w:p>
    <w:p w:rsidR="00FB4854" w:rsidRDefault="00FB4854">
      <w:pPr>
        <w:numPr>
          <w:ilvl w:val="12"/>
          <w:numId w:val="0"/>
        </w:numPr>
        <w:spacing w:before="60" w:after="60"/>
        <w:rPr>
          <w:b/>
          <w:sz w:val="24"/>
        </w:rPr>
      </w:pPr>
    </w:p>
    <w:p w:rsidR="00FB4854" w:rsidRDefault="00FB4854">
      <w:pPr>
        <w:numPr>
          <w:ilvl w:val="12"/>
          <w:numId w:val="0"/>
        </w:numPr>
        <w:spacing w:before="60" w:after="60"/>
        <w:rPr>
          <w:b/>
          <w:sz w:val="24"/>
        </w:rPr>
      </w:pPr>
    </w:p>
    <w:p w:rsidR="00FB4854" w:rsidRDefault="00FB4854" w:rsidP="00FB4854">
      <w:pPr>
        <w:numPr>
          <w:ilvl w:val="12"/>
          <w:numId w:val="0"/>
        </w:numPr>
        <w:spacing w:before="60" w:after="60"/>
        <w:rPr>
          <w:sz w:val="24"/>
        </w:rPr>
      </w:pPr>
      <w:r>
        <w:rPr>
          <w:b/>
          <w:sz w:val="24"/>
        </w:rPr>
        <w:t>Section VIIII – Regulatory Section</w:t>
      </w:r>
      <w:r>
        <w:rPr>
          <w:sz w:val="24"/>
        </w:rPr>
        <w:t xml:space="preserve"> </w:t>
      </w:r>
    </w:p>
    <w:tbl>
      <w:tblPr>
        <w:tblW w:w="0" w:type="auto"/>
        <w:tblInd w:w="100" w:type="dxa"/>
        <w:tblLayout w:type="fixed"/>
        <w:tblCellMar>
          <w:left w:w="100" w:type="dxa"/>
          <w:right w:w="100" w:type="dxa"/>
        </w:tblCellMar>
        <w:tblLook w:val="0000"/>
      </w:tblPr>
      <w:tblGrid>
        <w:gridCol w:w="10079"/>
        <w:gridCol w:w="6"/>
      </w:tblGrid>
      <w:tr w:rsidR="00FB4854">
        <w:tblPrEx>
          <w:tblCellMar>
            <w:top w:w="0" w:type="dxa"/>
            <w:bottom w:w="0" w:type="dxa"/>
          </w:tblCellMar>
        </w:tblPrEx>
        <w:trPr>
          <w:gridAfter w:val="1"/>
          <w:wAfter w:w="6" w:type="dxa"/>
          <w:trHeight w:val="705"/>
        </w:trPr>
        <w:tc>
          <w:tcPr>
            <w:tcW w:w="10079" w:type="dxa"/>
            <w:tcBorders>
              <w:top w:val="single" w:sz="6" w:space="0" w:color="auto"/>
              <w:left w:val="single" w:sz="6" w:space="0" w:color="auto"/>
              <w:right w:val="single" w:sz="6" w:space="0" w:color="auto"/>
            </w:tcBorders>
          </w:tcPr>
          <w:p w:rsidR="00FB4854" w:rsidRPr="006F7834" w:rsidRDefault="00FB4854" w:rsidP="00177CFC">
            <w:pPr>
              <w:numPr>
                <w:ilvl w:val="12"/>
                <w:numId w:val="0"/>
              </w:numPr>
            </w:pPr>
            <w:r>
              <w:t>SARA Reporting</w:t>
            </w:r>
          </w:p>
          <w:p w:rsidR="00FB4854" w:rsidRDefault="00FB4854" w:rsidP="00177CFC">
            <w:pPr>
              <w:numPr>
                <w:ilvl w:val="12"/>
                <w:numId w:val="0"/>
              </w:numPr>
              <w:rPr>
                <w:b/>
              </w:rPr>
            </w:pPr>
            <w:r>
              <w:rPr>
                <w:b/>
              </w:rPr>
              <w:t xml:space="preserve">  This</w:t>
            </w:r>
            <w:r w:rsidR="00EF4C17">
              <w:rPr>
                <w:b/>
              </w:rPr>
              <w:t xml:space="preserve"> glass</w:t>
            </w:r>
            <w:r>
              <w:rPr>
                <w:b/>
              </w:rPr>
              <w:t xml:space="preserve"> tile contains &lt; 0.1 percent by weight each of the following elements which are SARA 313 Recordable:</w:t>
            </w:r>
          </w:p>
          <w:p w:rsidR="00FB4854" w:rsidRPr="006F7834" w:rsidRDefault="00FB4854" w:rsidP="00177CFC">
            <w:pPr>
              <w:numPr>
                <w:ilvl w:val="12"/>
                <w:numId w:val="0"/>
              </w:numPr>
              <w:rPr>
                <w:sz w:val="24"/>
              </w:rPr>
            </w:pPr>
            <w:r>
              <w:rPr>
                <w:b/>
              </w:rPr>
              <w:t>Antimony, Arsenic, Barium, Beryllium, Cadmium, Cobalt, Chromium, Mercury, Manganese, Nickel, Lead, Silver,</w:t>
            </w:r>
            <w:r w:rsidR="00EF4C17">
              <w:rPr>
                <w:b/>
              </w:rPr>
              <w:t xml:space="preserve"> Thallium, Vanadium, and Zinc. Glass t</w:t>
            </w:r>
            <w:r>
              <w:rPr>
                <w:b/>
              </w:rPr>
              <w:t>ile is not regulated by DOT.</w:t>
            </w:r>
            <w:r>
              <w:br/>
              <w:t xml:space="preserve">             </w:t>
            </w:r>
          </w:p>
        </w:tc>
      </w:tr>
      <w:tr w:rsidR="00FB4854">
        <w:tblPrEx>
          <w:tblCellMar>
            <w:top w:w="0" w:type="dxa"/>
            <w:bottom w:w="0" w:type="dxa"/>
          </w:tblCellMar>
        </w:tblPrEx>
        <w:trPr>
          <w:trHeight w:val="689"/>
        </w:trPr>
        <w:tc>
          <w:tcPr>
            <w:tcW w:w="10085" w:type="dxa"/>
            <w:gridSpan w:val="2"/>
            <w:tcBorders>
              <w:top w:val="single" w:sz="6" w:space="0" w:color="auto"/>
              <w:left w:val="single" w:sz="6" w:space="0" w:color="auto"/>
              <w:bottom w:val="single" w:sz="6" w:space="0" w:color="auto"/>
              <w:right w:val="single" w:sz="6" w:space="0" w:color="auto"/>
            </w:tcBorders>
          </w:tcPr>
          <w:p w:rsidR="00FB4854" w:rsidRDefault="00FB4854" w:rsidP="00177CFC">
            <w:pPr>
              <w:numPr>
                <w:ilvl w:val="12"/>
                <w:numId w:val="0"/>
              </w:numPr>
            </w:pPr>
            <w:r>
              <w:t>Other Information</w:t>
            </w:r>
          </w:p>
          <w:p w:rsidR="00FB4854" w:rsidRDefault="00FB4854" w:rsidP="00177CFC">
            <w:pPr>
              <w:numPr>
                <w:ilvl w:val="12"/>
                <w:numId w:val="0"/>
              </w:numPr>
            </w:pPr>
          </w:p>
          <w:p w:rsidR="00FB4854" w:rsidRDefault="00FB4854" w:rsidP="00177CFC">
            <w:pPr>
              <w:numPr>
                <w:ilvl w:val="12"/>
                <w:numId w:val="0"/>
              </w:numPr>
              <w:rPr>
                <w:b/>
              </w:rPr>
            </w:pPr>
            <w:r>
              <w:rPr>
                <w:b/>
              </w:rPr>
              <w:t xml:space="preserve"> National Fire Protection Act Hazard Rating:</w:t>
            </w:r>
            <w:r w:rsidR="00177CFC">
              <w:rPr>
                <w:b/>
              </w:rPr>
              <w:t xml:space="preserve">                      Health:   0                     Fire:   0         Reactivity:   0</w:t>
            </w:r>
          </w:p>
          <w:p w:rsidR="00FB4854" w:rsidRPr="006F7834" w:rsidRDefault="00FB4854" w:rsidP="00177CFC">
            <w:pPr>
              <w:numPr>
                <w:ilvl w:val="12"/>
                <w:numId w:val="0"/>
              </w:numPr>
              <w:rPr>
                <w:b/>
              </w:rPr>
            </w:pPr>
            <w:r>
              <w:rPr>
                <w:b/>
              </w:rPr>
              <w:t>Hazardous Material Information System Rating:</w:t>
            </w:r>
            <w:r w:rsidR="00177CFC">
              <w:rPr>
                <w:b/>
              </w:rPr>
              <w:t xml:space="preserve">                Health:   0                     Fire:   0        Reactivity:    0</w:t>
            </w:r>
            <w:r w:rsidRPr="006F7834">
              <w:rPr>
                <w:b/>
              </w:rPr>
              <w:br/>
              <w:t> </w:t>
            </w:r>
          </w:p>
        </w:tc>
      </w:tr>
    </w:tbl>
    <w:p w:rsidR="00FB4854" w:rsidRDefault="00FB4854">
      <w:pPr>
        <w:numPr>
          <w:ilvl w:val="12"/>
          <w:numId w:val="0"/>
        </w:numPr>
        <w:spacing w:before="60" w:after="60"/>
        <w:rPr>
          <w:b/>
          <w:sz w:val="24"/>
        </w:rPr>
      </w:pPr>
    </w:p>
    <w:sectPr w:rsidR="00FB4854">
      <w:pgSz w:w="12240" w:h="15840"/>
      <w:pgMar w:top="1440" w:right="90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ECC0284"/>
    <w:lvl w:ilvl="0">
      <w:start w:val="1"/>
      <w:numFmt w:val="decimal"/>
      <w:lvlText w:val="%1."/>
      <w:lvlJc w:val="left"/>
      <w:pPr>
        <w:tabs>
          <w:tab w:val="num" w:pos="360"/>
        </w:tabs>
        <w:ind w:left="360" w:hanging="360"/>
      </w:pPr>
    </w:lvl>
  </w:abstractNum>
  <w:abstractNum w:abstractNumId="1">
    <w:nsid w:val="FFFFFF89"/>
    <w:multiLevelType w:val="singleLevel"/>
    <w:tmpl w:val="B58C727E"/>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5136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6DB3B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8012F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DDC54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E444C30"/>
    <w:multiLevelType w:val="singleLevel"/>
    <w:tmpl w:val="3BC2DFE2"/>
    <w:lvl w:ilvl="0">
      <w:start w:val="1"/>
      <w:numFmt w:val="decimal"/>
      <w:lvlText w:val="%1."/>
      <w:legacy w:legacy="1" w:legacySpace="0" w:legacyIndent="360"/>
      <w:lvlJc w:val="left"/>
      <w:pPr>
        <w:ind w:left="720" w:hanging="360"/>
      </w:pPr>
    </w:lvl>
  </w:abstractNum>
  <w:abstractNum w:abstractNumId="8">
    <w:nsid w:val="1E8F10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75C3F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98750FF"/>
    <w:multiLevelType w:val="multilevel"/>
    <w:tmpl w:val="0E5E80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nsid w:val="29C064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2B46584"/>
    <w:multiLevelType w:val="singleLevel"/>
    <w:tmpl w:val="0409000F"/>
    <w:lvl w:ilvl="0">
      <w:start w:val="2"/>
      <w:numFmt w:val="decimal"/>
      <w:lvlText w:val="%1."/>
      <w:lvlJc w:val="left"/>
      <w:pPr>
        <w:tabs>
          <w:tab w:val="num" w:pos="360"/>
        </w:tabs>
        <w:ind w:left="360" w:hanging="360"/>
      </w:pPr>
      <w:rPr>
        <w:rFonts w:hint="default"/>
      </w:rPr>
    </w:lvl>
  </w:abstractNum>
  <w:abstractNum w:abstractNumId="13">
    <w:nsid w:val="33F5097A"/>
    <w:multiLevelType w:val="singleLevel"/>
    <w:tmpl w:val="3BC2DFE2"/>
    <w:lvl w:ilvl="0">
      <w:start w:val="1"/>
      <w:numFmt w:val="decimal"/>
      <w:lvlText w:val="%1."/>
      <w:legacy w:legacy="1" w:legacySpace="0" w:legacyIndent="360"/>
      <w:lvlJc w:val="left"/>
      <w:pPr>
        <w:ind w:left="720" w:hanging="360"/>
      </w:pPr>
    </w:lvl>
  </w:abstractNum>
  <w:abstractNum w:abstractNumId="14">
    <w:nsid w:val="3FF96489"/>
    <w:multiLevelType w:val="singleLevel"/>
    <w:tmpl w:val="326EFCE0"/>
    <w:lvl w:ilvl="0">
      <w:start w:val="1"/>
      <w:numFmt w:val="decimal"/>
      <w:lvlText w:val="%1."/>
      <w:lvlJc w:val="left"/>
      <w:pPr>
        <w:tabs>
          <w:tab w:val="num" w:pos="720"/>
        </w:tabs>
        <w:ind w:left="720" w:hanging="720"/>
      </w:pPr>
      <w:rPr>
        <w:rFonts w:hint="default"/>
      </w:rPr>
    </w:lvl>
  </w:abstractNum>
  <w:abstractNum w:abstractNumId="15">
    <w:nsid w:val="526540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84C13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DF004D1"/>
    <w:multiLevelType w:val="singleLevel"/>
    <w:tmpl w:val="326EFCE0"/>
    <w:lvl w:ilvl="0">
      <w:start w:val="1"/>
      <w:numFmt w:val="decimal"/>
      <w:lvlText w:val="%1."/>
      <w:lvlJc w:val="left"/>
      <w:pPr>
        <w:tabs>
          <w:tab w:val="num" w:pos="720"/>
        </w:tabs>
        <w:ind w:left="720" w:hanging="720"/>
      </w:pPr>
      <w:rPr>
        <w:rFonts w:hint="default"/>
      </w:rPr>
    </w:lvl>
  </w:abstractNum>
  <w:abstractNum w:abstractNumId="18">
    <w:nsid w:val="5F087A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33C4583"/>
    <w:multiLevelType w:val="singleLevel"/>
    <w:tmpl w:val="3BC2DFE2"/>
    <w:lvl w:ilvl="0">
      <w:start w:val="1"/>
      <w:numFmt w:val="decimal"/>
      <w:lvlText w:val="%1."/>
      <w:legacy w:legacy="1" w:legacySpace="0" w:legacyIndent="360"/>
      <w:lvlJc w:val="left"/>
      <w:pPr>
        <w:ind w:left="720" w:hanging="360"/>
      </w:pPr>
    </w:lvl>
  </w:abstractNum>
  <w:abstractNum w:abstractNumId="20">
    <w:nsid w:val="6AFC0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D8136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D8B4D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0B7F6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7"/>
  </w:num>
  <w:num w:numId="4">
    <w:abstractNumId w:val="2"/>
    <w:lvlOverride w:ilvl="0">
      <w:lvl w:ilvl="0">
        <w:start w:val="1"/>
        <w:numFmt w:val="bullet"/>
        <w:lvlText w:val=""/>
        <w:legacy w:legacy="1" w:legacySpace="0" w:legacyIndent="360"/>
        <w:lvlJc w:val="left"/>
        <w:pPr>
          <w:ind w:left="720" w:hanging="360"/>
        </w:pPr>
        <w:rPr>
          <w:rFonts w:ascii="Symbol" w:hAnsi="Symbol" w:hint="default"/>
        </w:rPr>
      </w:lvl>
    </w:lvlOverride>
  </w:num>
  <w:num w:numId="5">
    <w:abstractNumId w:val="13"/>
  </w:num>
  <w:num w:numId="6">
    <w:abstractNumId w:val="19"/>
  </w:num>
  <w:num w:numId="7">
    <w:abstractNumId w:val="10"/>
  </w:num>
  <w:num w:numId="8">
    <w:abstractNumId w:val="12"/>
  </w:num>
  <w:num w:numId="9">
    <w:abstractNumId w:val="21"/>
  </w:num>
  <w:num w:numId="10">
    <w:abstractNumId w:val="9"/>
  </w:num>
  <w:num w:numId="11">
    <w:abstractNumId w:val="23"/>
  </w:num>
  <w:num w:numId="12">
    <w:abstractNumId w:val="8"/>
  </w:num>
  <w:num w:numId="13">
    <w:abstractNumId w:val="22"/>
  </w:num>
  <w:num w:numId="14">
    <w:abstractNumId w:val="11"/>
  </w:num>
  <w:num w:numId="15">
    <w:abstractNumId w:val="15"/>
  </w:num>
  <w:num w:numId="16">
    <w:abstractNumId w:val="6"/>
  </w:num>
  <w:num w:numId="17">
    <w:abstractNumId w:val="5"/>
  </w:num>
  <w:num w:numId="18">
    <w:abstractNumId w:val="4"/>
  </w:num>
  <w:num w:numId="19">
    <w:abstractNumId w:val="18"/>
  </w:num>
  <w:num w:numId="20">
    <w:abstractNumId w:val="14"/>
  </w:num>
  <w:num w:numId="21">
    <w:abstractNumId w:val="17"/>
  </w:num>
  <w:num w:numId="22">
    <w:abstractNumId w:val="16"/>
  </w:num>
  <w:num w:numId="23">
    <w:abstractNumId w:val="3"/>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2"/>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2328A"/>
    <w:rsid w:val="00093FE0"/>
    <w:rsid w:val="00177CFC"/>
    <w:rsid w:val="001D5510"/>
    <w:rsid w:val="00381C09"/>
    <w:rsid w:val="00405E24"/>
    <w:rsid w:val="004929F7"/>
    <w:rsid w:val="00601693"/>
    <w:rsid w:val="00691966"/>
    <w:rsid w:val="006C4BCC"/>
    <w:rsid w:val="006F7834"/>
    <w:rsid w:val="007517D0"/>
    <w:rsid w:val="007F0C2C"/>
    <w:rsid w:val="009F766A"/>
    <w:rsid w:val="00D02B82"/>
    <w:rsid w:val="00EF4C17"/>
    <w:rsid w:val="00F10E8E"/>
    <w:rsid w:val="00F2328A"/>
    <w:rsid w:val="00FB48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Style">
    <w:name w:val="Body Style"/>
    <w:pPr>
      <w:tabs>
        <w:tab w:val="left" w:pos="720"/>
        <w:tab w:val="left" w:pos="1440"/>
        <w:tab w:val="left" w:pos="7200"/>
      </w:tabs>
    </w:pPr>
    <w:rPr>
      <w:rFonts w:ascii="Geneva" w:hAnsi="Geneva"/>
      <w:sz w:val="24"/>
    </w:rPr>
  </w:style>
  <w:style w:type="paragraph" w:customStyle="1" w:styleId="RestartList">
    <w:name w:val="RestartList"/>
    <w:next w:val="Normal"/>
    <w:pPr>
      <w:spacing w:line="14" w:lineRule="exact"/>
    </w:pPr>
    <w:rPr>
      <w:rFonts w:ascii="Times" w:hAnsi="Times"/>
      <w:noProof/>
    </w:rPr>
  </w:style>
  <w:style w:type="paragraph" w:customStyle="1" w:styleId="Address">
    <w:name w:val="Address"/>
    <w:basedOn w:val="Normal"/>
    <w:next w:val="Normal"/>
    <w:pPr>
      <w:spacing w:before="60" w:after="60"/>
    </w:pPr>
    <w:rPr>
      <w:rFonts w:ascii="Times" w:hAnsi="Times"/>
      <w:i/>
      <w:sz w:val="24"/>
    </w:rPr>
  </w:style>
  <w:style w:type="paragraph" w:styleId="Header">
    <w:name w:val="header"/>
    <w:basedOn w:val="Normal"/>
    <w:pPr>
      <w:tabs>
        <w:tab w:val="center" w:pos="4320"/>
        <w:tab w:val="right" w:pos="8640"/>
      </w:tabs>
    </w:pPr>
    <w:rPr>
      <w:rFonts w:ascii="Times" w:hAnsi="Time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The MSDS</vt:lpstr>
    </vt:vector>
  </TitlesOfParts>
  <Company>Cornell University</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MSDS</dc:title>
  <dc:subject/>
  <dc:creator>Perpignand</dc:creator>
  <cp:keywords/>
  <cp:lastModifiedBy>JC Raymond </cp:lastModifiedBy>
  <cp:revision>2</cp:revision>
  <dcterms:created xsi:type="dcterms:W3CDTF">2014-01-17T19:08:00Z</dcterms:created>
  <dcterms:modified xsi:type="dcterms:W3CDTF">2014-01-17T19:08:00Z</dcterms:modified>
</cp:coreProperties>
</file>